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23">
              <w:r>
                <w:rPr>
                  <w:rStyle w:val="Hyperlink"/>
                </w:rPr>
                <w:t xml:space="preserve">the journal website</w:t>
              </w:r>
            </w:hyperlink>
            <w:r>
              <w:t xml:space="preserve">.</w:t>
            </w:r>
          </w:p>
          <w:p/>
        </w:tc>
      </w:tr>
    </w:tbl>
    <w:bookmarkStart w:id="24"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w:t>
      </w:r>
      <w:r>
        <w:t xml:space="preserve"> </w:t>
      </w:r>
      <w:r>
        <w:t xml:space="preserve">‘catastrophic’</w:t>
      </w:r>
      <w:r>
        <w:t xml:space="preserve">,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w:t>
      </w:r>
      <w:r>
        <w:t xml:space="preserve"> </w:t>
      </w:r>
      <w:r>
        <w:t xml:space="preserve">‘middle age’</w:t>
      </w:r>
      <w:r>
        <w:t xml:space="preserv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w:t>
      </w:r>
      <w:r>
        <w:t xml:space="preserve"> </w:t>
      </w:r>
      <w:r>
        <w:t xml:space="preserve">‘live in the past’</w:t>
      </w:r>
      <w:r>
        <w:t xml:space="preserve">.</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24"/>
    <w:bookmarkStart w:id="28"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25"/>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w:t>
      </w:r>
      <w:r>
        <w:t xml:space="preserve"> </w:t>
      </w:r>
      <w:r>
        <w:t xml:space="preserve">‘ethical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26"/>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27"/>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w:t>
      </w:r>
      <w:r>
        <w:t xml:space="preserve"> </w:t>
      </w:r>
      <w:r>
        <w:t xml:space="preserve">‘criminals’</w:t>
      </w:r>
      <w:r>
        <w:t xml:space="preserve">,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28"/>
    <w:bookmarkStart w:id="40" w:name="findings"/>
    <w:p>
      <w:pPr>
        <w:pStyle w:val="Heading1"/>
      </w:pPr>
      <w:r>
        <w:t xml:space="preserve">Findings</w:t>
      </w:r>
    </w:p>
    <w:bookmarkStart w:id="33" w:name="Xfbae3ab00391a09c116da3962f387a534b96709"/>
    <w:p>
      <w:pPr>
        <w:pStyle w:val="Heading2"/>
      </w:pPr>
      <w:r>
        <w:t xml:space="preserve">Rapid adjustment in the early sentence stages</w:t>
      </w:r>
    </w:p>
    <w:p>
      <w:pPr>
        <w:pStyle w:val="FirstParagraph"/>
      </w:pPr>
      <w:r>
        <w:t xml:space="preserve">The six men in the</w:t>
      </w:r>
      <w:r>
        <w:t xml:space="preserve"> </w:t>
      </w:r>
      <w:r>
        <w:t xml:space="preserve">‘very early’</w:t>
      </w:r>
      <w:r>
        <w:t xml:space="preserve"> </w:t>
      </w:r>
      <w:r>
        <w:t xml:space="preserve">and</w:t>
      </w:r>
      <w:r>
        <w:t xml:space="preserve"> </w:t>
      </w:r>
      <w:r>
        <w:t xml:space="preserve">‘early’</w:t>
      </w:r>
      <w:r>
        <w:t xml:space="preserve"> </w:t>
      </w:r>
      <w:r>
        <w:t xml:space="preserve">stages of the sentence (four of whom were in prison for the first time) alluded to experiences of</w:t>
      </w:r>
      <w:r>
        <w:t xml:space="preserve"> </w:t>
      </w:r>
      <w:r>
        <w:t xml:space="preserve">‘entry shock’</w:t>
      </w:r>
      <w:r>
        <w:t xml:space="preserve">. However, they did so in terms suggesting neither the</w:t>
      </w:r>
      <w:r>
        <w:t xml:space="preserve"> </w:t>
      </w:r>
      <w:r>
        <w:t xml:space="preserve">‘catastrophic’</w:t>
      </w:r>
      <w:r>
        <w:t xml:space="preserve"> </w:t>
      </w:r>
      <w:r>
        <w:t xml:space="preserve">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29"/>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w:t>
      </w:r>
      <w:r>
        <w:t xml:space="preserve"> </w:t>
      </w:r>
      <w:r>
        <w:t xml:space="preserve">‘despair and disbelief’</w:t>
      </w:r>
      <w:r>
        <w:t xml:space="preserve"> </w:t>
      </w:r>
      <w:r>
        <w:t xml:space="preserve">and</w:t>
      </w:r>
      <w:r>
        <w:t xml:space="preserve"> </w:t>
      </w:r>
      <w:r>
        <w:t xml:space="preserve">‘temporary moral suspension’</w:t>
      </w:r>
      <w:r>
        <w:t xml:space="preserve"> </w:t>
      </w:r>
      <w:r>
        <w:t xml:space="preserve">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30"/>
      </w:r>
      <w:r>
        <w:t xml:space="preserve"> </w:t>
      </w:r>
      <w:r>
        <w:t xml:space="preserve">In some cases, moral guilt ran deep, as Gary explained:</w:t>
      </w:r>
      <w:r>
        <w:rPr>
          <w:rStyle w:val="FootnoteReference"/>
        </w:rPr>
        <w:footnoteReference w:id="31"/>
      </w:r>
    </w:p>
    <w:p>
      <w:pPr>
        <w:pStyle w:val="BlockText"/>
      </w:pPr>
      <w:r>
        <w:t xml:space="preserve">I hate myself for it. And [I] still think,</w:t>
      </w:r>
      <w:r>
        <w:t xml:space="preserve"> </w:t>
      </w:r>
      <w:r>
        <w:t xml:space="preserve">‘Hang me, or needle, or whatever they want to do’</w:t>
      </w:r>
      <w:r>
        <w:t xml:space="preserve">.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32"/>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w:t>
      </w:r>
      <w:r>
        <w:t xml:space="preserve"> </w:t>
      </w:r>
      <w:r>
        <w:t xml:space="preserve">‘temporal vertigo’</w:t>
      </w:r>
      <w:r>
        <w:t xml:space="preserve"> </w:t>
      </w:r>
      <w:r>
        <w:t xml:space="preserve">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w:t>
      </w:r>
      <w:r>
        <w:t xml:space="preserve"> </w:t>
      </w:r>
      <w:r>
        <w:t xml:space="preserve">‘pragmatists’</w:t>
      </w:r>
      <w:r>
        <w:t xml:space="preserve">, in that most appeared</w:t>
      </w:r>
      <w:r>
        <w:t xml:space="preserve"> </w:t>
      </w:r>
      <w:r>
        <w:t xml:space="preserve">‘not [to] dwell on their moral status or the legitimacy of their predicament’</w:t>
      </w:r>
      <w:r>
        <w:t xml:space="preserve">, but instead simply got on with the sentence.</w:t>
      </w:r>
    </w:p>
    <w:bookmarkEnd w:id="33"/>
    <w:bookmarkStart w:id="34"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w:t>
      </w:r>
      <w:r>
        <w:t xml:space="preserve"> </w:t>
      </w:r>
      <w:r>
        <w:t xml:space="preserve">‘progressive’</w:t>
      </w:r>
      <w:r>
        <w:t xml:space="preserve"> </w:t>
      </w:r>
      <w:r>
        <w:t xml:space="preserve">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w:t>
      </w:r>
      <w:r>
        <w:t xml:space="preserve"> </w:t>
      </w:r>
      <w:r>
        <w:t xml:space="preserve">‘livid’</w:t>
      </w:r>
      <w:r>
        <w:t xml:space="preserve"> </w:t>
      </w:r>
      <w:r>
        <w:t xml:space="preserve">about it. Confronting the offence and rehearsing a narrative of</w:t>
      </w:r>
      <w:r>
        <w:t xml:space="preserve"> </w:t>
      </w:r>
      <w:r>
        <w:t xml:space="preserve">‘change’</w:t>
      </w:r>
      <w:r>
        <w:t xml:space="preserve"> </w:t>
      </w:r>
      <w:r>
        <w:t xml:space="preserve">was not often a priority for those with years of their tariff left to serve. They felt little pressure to be more proactive. Category-B regimes afforded them (relatively) more comfortable accommodation and a more conducive regime than they anticipated in</w:t>
      </w:r>
      <w:r>
        <w:t xml:space="preserve"> </w:t>
      </w:r>
      <w:r>
        <w:t xml:space="preserve">‘chaotic’</w:t>
      </w:r>
      <w:r>
        <w:t xml:space="preserve"> </w:t>
      </w:r>
      <w:r>
        <w:t xml:space="preserve">(Pete)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34"/>
    <w:bookmarkStart w:id="39"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w:t>
      </w:r>
      <w:r>
        <w:t xml:space="preserve"> </w:t>
      </w:r>
      <w:r>
        <w:t xml:space="preserve">‘mistake’</w:t>
      </w:r>
      <w:r>
        <w:t xml:space="preserve">, highlighted aspects of their lives which were mostly irrelevant to their offending, but which suggested their</w:t>
      </w:r>
      <w:r>
        <w:t xml:space="preserve"> </w:t>
      </w:r>
      <w:r>
        <w:t xml:space="preserve">‘real’</w:t>
      </w:r>
      <w:r>
        <w:t xml:space="preserve"> </w:t>
      </w:r>
      <w:r>
        <w:t xml:space="preserve">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w:t>
            </w:r>
            <w:r>
              <w:t xml:space="preserve"> </w:t>
            </w:r>
            <w:r>
              <w:t xml:space="preserve">‘true self’</w:t>
            </w:r>
            <w:r>
              <w:t xml:space="preserve"> </w:t>
            </w:r>
            <w:r>
              <w:t xml:space="preserve">at the time</w:t>
            </w:r>
          </w:p>
        </w:tc>
        <w:tc>
          <w:tcPr/>
          <w:p>
            <w:pPr>
              <w:pStyle w:val="Compact"/>
              <w:jc w:val="center"/>
            </w:pPr>
            <w:r>
              <w:t xml:space="preserve">A culmination, continuous with the</w:t>
            </w:r>
            <w:r>
              <w:t xml:space="preserve"> </w:t>
            </w:r>
            <w:r>
              <w:t xml:space="preserve">‘true self’</w:t>
            </w:r>
            <w:r>
              <w:t xml:space="preserve"> </w:t>
            </w:r>
            <w:r>
              <w:t xml:space="preserve">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w:t>
            </w:r>
            <w:r>
              <w:t xml:space="preserve"> </w:t>
            </w:r>
            <w:r>
              <w:t xml:space="preserve">‘their label’</w:t>
            </w:r>
          </w:p>
        </w:tc>
        <w:tc>
          <w:tcPr/>
          <w:p>
            <w:pPr>
              <w:pStyle w:val="Compact"/>
              <w:jc w:val="center"/>
            </w:pPr>
            <w:r>
              <w:t xml:space="preserve">Recognition,</w:t>
            </w:r>
            <w:r>
              <w:t xml:space="preserve"> </w:t>
            </w:r>
            <w:r>
              <w:t xml:space="preserve">‘my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w:t>
      </w:r>
      <w:r>
        <w:t xml:space="preserve"> </w:t>
      </w:r>
      <w:r>
        <w:t xml:space="preserve">‘good person who made a mistake’</w:t>
      </w:r>
      <w:r>
        <w:t xml:space="preserve"> </w:t>
      </w:r>
      <w:r>
        <w:t xml:space="preserve">and</w:t>
      </w:r>
      <w:r>
        <w:t xml:space="preserve"> </w:t>
      </w:r>
      <w:r>
        <w:t xml:space="preserve">‘bad person who became good’</w:t>
      </w:r>
      <w:r>
        <w:t xml:space="preserve"> </w:t>
      </w:r>
      <w:r>
        <w:t xml:space="preserve">narratives highlighted among young lifers, and the</w:t>
      </w:r>
      <w:r>
        <w:t xml:space="preserve"> </w:t>
      </w:r>
      <w:r>
        <w:t xml:space="preserve">‘stability’</w:t>
      </w:r>
      <w:r>
        <w:t xml:space="preserve">,</w:t>
      </w:r>
      <w:r>
        <w:t xml:space="preserve"> </w:t>
      </w:r>
      <w:r>
        <w:t xml:space="preserve">‘return’</w:t>
      </w:r>
      <w:r>
        <w:t xml:space="preserve">, and</w:t>
      </w:r>
      <w:r>
        <w:t xml:space="preserve"> </w:t>
      </w:r>
      <w:r>
        <w:t xml:space="preserve">‘elastic’</w:t>
      </w:r>
      <w:r>
        <w:t xml:space="preserve"> </w:t>
      </w:r>
      <w:r>
        <w:t xml:space="preserve">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w:t>
      </w:r>
      <w:r>
        <w:t xml:space="preserve"> </w:t>
      </w:r>
      <w:r>
        <w:t xml:space="preserve">‘no respect for cons’</w:t>
      </w:r>
      <w:r>
        <w:t xml:space="preserve"> </w:t>
      </w:r>
      <w:r>
        <w:t xml:space="preserve">but had nonetheless been</w:t>
      </w:r>
      <w:r>
        <w:t xml:space="preserve"> </w:t>
      </w:r>
      <w:r>
        <w:t xml:space="preserve">‘an arsehole’</w:t>
      </w:r>
      <w:r>
        <w:t xml:space="preserve"> </w:t>
      </w:r>
      <w:r>
        <w:t xml:space="preserve">before prison. He declared,</w:t>
      </w:r>
      <w:r>
        <w:t xml:space="preserve"> </w:t>
      </w:r>
      <w:r>
        <w:t xml:space="preserve">‘if I was a judge, I would have been harder on me than he was’</w:t>
      </w:r>
      <w:r>
        <w:t xml:space="preserve">. But he emphasised that his</w:t>
      </w:r>
      <w:r>
        <w:t xml:space="preserve"> </w:t>
      </w:r>
      <w:r>
        <w:t xml:space="preserve">‘wild’</w:t>
      </w:r>
      <w:r>
        <w:t xml:space="preserve"> </w:t>
      </w:r>
      <w:r>
        <w:t xml:space="preserve">lifestyle had been paid for by lawful earnings and wealth. Paradoxically, he judged himself more harshly for his past conduct in intimate relationships than for murdering the victim (</w:t>
      </w:r>
      <w:r>
        <w:t xml:space="preserve">‘a cunt’</w:t>
      </w:r>
      <w:r>
        <w:t xml:space="preserve">) whose provocations Robert said had caused the offence. The conviction had not erased his sense of social status in relation to other prisoners (who he derided as</w:t>
      </w:r>
      <w:r>
        <w:t xml:space="preserve"> </w:t>
      </w:r>
      <w:r>
        <w:t xml:space="preserve">‘scum’</w:t>
      </w:r>
      <w:r>
        <w:t xml:space="preserve">).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w:t>
      </w:r>
      <w:r>
        <w:t xml:space="preserve"> </w:t>
      </w:r>
      <w:r>
        <w:t xml:space="preserve">‘catastrophe’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w:t>
      </w:r>
      <w:r>
        <w:t xml:space="preserve"> </w:t>
      </w:r>
      <w:r>
        <w:t xml:space="preserve">‘real’</w:t>
      </w:r>
      <w:r>
        <w:t xml:space="preserve"> </w:t>
      </w:r>
      <w:r>
        <w:t xml:space="preserve">criminals. It followed that most questioned the idea that they had reformative work to do, by reducing risk or changing their characters. Their scepticism about risk reduction, at least, was not groundless: ten men in the subsample had</w:t>
      </w:r>
      <w:r>
        <w:t xml:space="preserve"> </w:t>
      </w:r>
      <w:r>
        <w:t xml:space="preserve">‘low’</w:t>
      </w:r>
      <w:r>
        <w:t xml:space="preserve"> </w:t>
      </w:r>
      <w:r>
        <w:t xml:space="preserve">actuarial risk scores across the board</w:t>
      </w:r>
      <w:r>
        <w:rPr>
          <w:rStyle w:val="FootnoteReference"/>
        </w:rPr>
        <w:footnoteReference w:id="35"/>
      </w:r>
      <w:r>
        <w:t xml:space="preserve"> </w:t>
      </w:r>
      <w:r>
        <w:t xml:space="preserve">and none scored</w:t>
      </w:r>
      <w:r>
        <w:t xml:space="preserve"> </w:t>
      </w:r>
      <w:r>
        <w:t xml:space="preserve">‘high’</w:t>
      </w:r>
      <w:r>
        <w:t xml:space="preserve">. In Risk of Serious Harm assessments, only one posed more than a</w:t>
      </w:r>
      <w:r>
        <w:t xml:space="preserve"> </w:t>
      </w:r>
      <w:r>
        <w:t xml:space="preserve">‘low’</w:t>
      </w:r>
      <w:r>
        <w:t xml:space="preserve"> </w:t>
      </w:r>
      <w:r>
        <w:t xml:space="preserve">risk to any group in custody, although all fifteen were expected to pose at least a</w:t>
      </w:r>
      <w:r>
        <w:t xml:space="preserve"> </w:t>
      </w:r>
      <w:r>
        <w:t xml:space="preserve">‘medium’</w:t>
      </w:r>
      <w:r>
        <w:t xml:space="preserve"> </w:t>
      </w:r>
      <w:r>
        <w:t xml:space="preserve">risk to at least one group in the community.</w:t>
      </w:r>
      <w:r>
        <w:rPr>
          <w:rStyle w:val="FootnoteReference"/>
        </w:rPr>
        <w:footnoteReference w:id="36"/>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37"/>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38"/>
      </w:r>
    </w:p>
    <w:p>
      <w:pPr>
        <w:pStyle w:val="BodyText"/>
      </w:pPr>
      <w:r>
        <w:t xml:space="preserve">To Group 1, others who displayed</w:t>
      </w:r>
      <w:r>
        <w:t xml:space="preserve"> </w:t>
      </w:r>
      <w:r>
        <w:t xml:space="preserve">‘appalling’</w:t>
      </w:r>
      <w:r>
        <w:t xml:space="preserve"> </w:t>
      </w:r>
      <w:r>
        <w:t xml:space="preserve">(Gerald) conduct in prison seemed to be the</w:t>
      </w:r>
      <w:r>
        <w:t xml:space="preserve"> </w:t>
      </w:r>
      <w:r>
        <w:t xml:space="preserve">‘real’</w:t>
      </w:r>
      <w:r>
        <w:t xml:space="preserve"> </w:t>
      </w:r>
      <w:r>
        <w:t xml:space="preserve">criminals (and far</w:t>
      </w:r>
      <w:r>
        <w:t xml:space="preserve"> </w:t>
      </w:r>
      <w:r>
        <w:t xml:space="preserve">‘riskier’</w:t>
      </w:r>
      <w:r>
        <w:t xml:space="preserve">). Group 1 framed their index offences as discontinuous with patterns in their longer-term behaviour. They were compliant and</w:t>
      </w:r>
      <w:r>
        <w:t xml:space="preserve"> </w:t>
      </w:r>
      <w:r>
        <w:t xml:space="preserve">‘low risk’</w:t>
      </w:r>
      <w:r>
        <w:t xml:space="preserve">,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w:t>
      </w:r>
      <w:r>
        <w:t xml:space="preserve">‘suck[ing] it up’</w:t>
      </w:r>
      <w:r>
        <w:t xml:space="preserve"> </w:t>
      </w:r>
      <w:r>
        <w:t xml:space="preserve">(Robert)—was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w:t>
      </w:r>
      <w:r>
        <w:t xml:space="preserve"> </w:t>
      </w:r>
      <w:r>
        <w:t xml:space="preserve">‘You need to get help’</w:t>
      </w:r>
      <w:r>
        <w:t xml:space="preserve">. [I was] very stubborn, and thinking,</w:t>
      </w:r>
      <w:r>
        <w:t xml:space="preserve"> </w:t>
      </w:r>
      <w:r>
        <w:t xml:space="preserve">‘well, there’s nothing wrong with me, why do [they] keep saying that?’</w:t>
      </w:r>
      <w:r>
        <w:t xml:space="preserve"> </w:t>
      </w:r>
      <w:r>
        <w:t xml:space="preserve">[…]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w:t>
      </w:r>
      <w:r>
        <w:t xml:space="preserve"> </w:t>
      </w:r>
      <w:r>
        <w:t xml:space="preserve">“twenty years ago you would have done [i.e. assaulted] that geezer…”</w:t>
      </w:r>
      <w:r>
        <w:t xml:space="preserve"> </w:t>
      </w:r>
      <w:r>
        <w:t xml:space="preserve">You’ve got to do what you’ve got to do […] [But] if I have an argument now […] I go all faint, I can’t get my breath. It’s terrible […] if someone says something, I still can’t help giving it back […] Even though I know I can’t back it up no more. (Terry)</w:t>
      </w:r>
    </w:p>
    <w:bookmarkEnd w:id="39"/>
    <w:bookmarkEnd w:id="40"/>
    <w:bookmarkStart w:id="42"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w:t>
      </w:r>
      <w:r>
        <w:t xml:space="preserve"> </w:t>
      </w:r>
      <w:r>
        <w:t xml:space="preserve">‘risky’</w:t>
      </w:r>
      <w:r>
        <w:t xml:space="preserve"> </w:t>
      </w:r>
      <w:r>
        <w:t xml:space="preserve">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w:t>
      </w:r>
      <w:r>
        <w:t xml:space="preserve"> </w:t>
      </w:r>
      <w:r>
        <w:t xml:space="preserve">‘change’</w:t>
      </w:r>
      <w:r>
        <w:t xml:space="preserve"> </w:t>
      </w:r>
      <w:r>
        <w:t xml:space="preserve">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w:t>
      </w:r>
      <w:r>
        <w:t xml:space="preserve"> </w:t>
      </w:r>
      <w:r>
        <w:t xml:space="preserve">“just not interested”</w:t>
      </w:r>
      <w:r>
        <w:t xml:space="preserve"> </w:t>
      </w:r>
      <w:r>
        <w:t xml:space="preserve">(Grant). They felt pains of</w:t>
      </w:r>
      <w:r>
        <w:t xml:space="preserve"> </w:t>
      </w:r>
      <w:r>
        <w:t xml:space="preserve">‘tightness’</w:t>
      </w:r>
      <w:r>
        <w:t xml:space="preserve"> </w:t>
      </w:r>
      <w:r>
        <w:t xml:space="preserve">less keenly,</w:t>
      </w:r>
      <w:r>
        <w:rPr>
          <w:rStyle w:val="FootnoteReference"/>
        </w:rPr>
        <w:footnoteReference w:id="41"/>
      </w:r>
      <w:r>
        <w:t xml:space="preserve"> </w:t>
      </w:r>
      <w:r>
        <w:t xml:space="preserve">since they conformed to prison regimes readily. But they found it painful to have to associate with others they saw as</w:t>
      </w:r>
      <w:r>
        <w:t xml:space="preserve"> </w:t>
      </w:r>
      <w:r>
        <w:t xml:space="preserve">‘real’</w:t>
      </w:r>
      <w:r>
        <w:t xml:space="preserve"> </w:t>
      </w:r>
      <w:r>
        <w:t xml:space="preserve">criminals, and they often felt unclear about what reformative</w:t>
      </w:r>
      <w:r>
        <w:t xml:space="preserve"> </w:t>
      </w:r>
      <w:r>
        <w:t xml:space="preserve">‘change’</w:t>
      </w:r>
      <w:r>
        <w:t xml:space="preserve"> </w:t>
      </w:r>
      <w:r>
        <w:t xml:space="preserve">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w:t>
      </w:r>
      <w:r>
        <w:t xml:space="preserve"> </w:t>
      </w:r>
      <w:r>
        <w:t xml:space="preserve">‘change’</w:t>
      </w:r>
      <w:r>
        <w:t xml:space="preserve"> </w:t>
      </w:r>
      <w:r>
        <w:t xml:space="preserve">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42"/>
    <w:bookmarkStart w:id="68" w:name="references"/>
    <w:p>
      <w:pPr>
        <w:pStyle w:val="Heading1"/>
      </w:pPr>
      <w:r>
        <w:t xml:space="preserve">References</w:t>
      </w:r>
    </w:p>
    <w:bookmarkStart w:id="67" w:name="refs"/>
    <w:bookmarkStart w:id="43"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43"/>
    <w:bookmarkStart w:id="44"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44"/>
    <w:bookmarkStart w:id="45"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45"/>
    <w:bookmarkStart w:id="46"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46"/>
    <w:bookmarkStart w:id="47"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47"/>
    <w:bookmarkStart w:id="48"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8"/>
    <w:bookmarkStart w:id="49"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50"/>
    <w:bookmarkStart w:id="51"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51"/>
    <w:bookmarkStart w:id="52"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52"/>
    <w:bookmarkStart w:id="53"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53"/>
    <w:bookmarkStart w:id="54"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4"/>
    <w:bookmarkStart w:id="55"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55"/>
    <w:bookmarkStart w:id="56"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56"/>
    <w:bookmarkStart w:id="57"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7"/>
    <w:bookmarkStart w:id="58"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58"/>
    <w:bookmarkStart w:id="59"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59"/>
    <w:bookmarkStart w:id="60"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60"/>
    <w:bookmarkStart w:id="61" w:name="ref-oedCulpableAdj1989"/>
    <w:p>
      <w:pPr>
        <w:pStyle w:val="Bibliography"/>
      </w:pPr>
      <w:r>
        <w:t xml:space="preserve">OED. (1989). Culpable, adj. And n., 2nd.</w:t>
      </w:r>
    </w:p>
    <w:bookmarkEnd w:id="61"/>
    <w:bookmarkStart w:id="62"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62"/>
    <w:bookmarkStart w:id="63"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63"/>
    <w:bookmarkStart w:id="64"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64"/>
    <w:bookmarkStart w:id="65"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65"/>
    <w:bookmarkStart w:id="66"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66"/>
    <w:bookmarkEnd w:id="67"/>
    <w:bookmarkEnd w:id="6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For clarity, this means that they had all been convicted of murder.</w:t>
      </w:r>
    </w:p>
  </w:footnote>
  <w:footnote w:id="26">
    <w:p>
      <w:pPr>
        <w:pStyle w:val="FootnoteText"/>
      </w:pPr>
      <w:r>
        <w:rPr>
          <w:rStyle w:val="FootnoteReference"/>
        </w:rPr>
        <w:footnoteRef/>
      </w:r>
      <w:r>
        <w:t xml:space="preserve"> </w:t>
      </w:r>
      <w:r>
        <w:t xml:space="preserve">To be clear: my aim was not to evaluate interviewees’ status as</w:t>
      </w:r>
      <w:r>
        <w:t xml:space="preserve"> </w:t>
      </w:r>
      <w:r>
        <w:t xml:space="preserve">‘ethical’</w:t>
      </w:r>
      <w:r>
        <w:t xml:space="preserve"> </w:t>
      </w:r>
      <w:r>
        <w:t xml:space="preserve">or</w:t>
      </w:r>
      <w:r>
        <w:t xml:space="preserve"> </w:t>
      </w:r>
      <w:r>
        <w:t xml:space="preserve">‘unethical’</w:t>
      </w:r>
      <w:r>
        <w:t xml:space="preserve"> </w:t>
      </w:r>
      <w:r>
        <w:t xml:space="preserve">people; but instead, to describe how they evaluated themselves and thought they should live as a result.</w:t>
      </w:r>
    </w:p>
  </w:footnote>
  <w:footnote w:id="27">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w:t>
      </w:r>
      <w:r>
        <w:t xml:space="preserve"> </w:t>
      </w:r>
      <w:r>
        <w:t xml:space="preserve">‘Very early’</w:t>
      </w:r>
      <w:r>
        <w:t xml:space="preserve"> </w:t>
      </w:r>
      <w:r>
        <w:t xml:space="preserve">= up to one-sixth of the tariff served at the point of participation;</w:t>
      </w:r>
      <w:r>
        <w:t xml:space="preserve"> </w:t>
      </w:r>
      <w:r>
        <w:t xml:space="preserve">‘Early’</w:t>
      </w:r>
      <w:r>
        <w:t xml:space="preserve"> </w:t>
      </w:r>
      <w:r>
        <w:t xml:space="preserve">= between one-sixth and one-third of the tariff served;</w:t>
      </w:r>
      <w:r>
        <w:t xml:space="preserve"> </w:t>
      </w:r>
      <w:r>
        <w:t xml:space="preserve">‘Mid’</w:t>
      </w:r>
      <w:r>
        <w:t xml:space="preserve"> </w:t>
      </w:r>
      <w:r>
        <w:t xml:space="preserve">= between one-third and two-thirds of the tariff served;</w:t>
      </w:r>
      <w:r>
        <w:t xml:space="preserve"> </w:t>
      </w:r>
      <w:r>
        <w:t xml:space="preserve">‘Late’</w:t>
      </w:r>
      <w:r>
        <w:t xml:space="preserve"> </w:t>
      </w:r>
      <w:r>
        <w:t xml:space="preserve">= between two-thirds and the entire tariff served.</w:t>
      </w:r>
    </w:p>
  </w:footnote>
  <w:footnote w:id="29">
    <w:p>
      <w:pPr>
        <w:pStyle w:val="FootnoteText"/>
      </w:pPr>
      <w:r>
        <w:rPr>
          <w:rStyle w:val="FootnoteReference"/>
        </w:rPr>
        <w:footnoteRef/>
      </w:r>
      <w:r>
        <w:t xml:space="preserve"> </w:t>
      </w:r>
      <w:r>
        <w:t xml:space="preserve">“Entry shock”</w:t>
      </w:r>
      <w:r>
        <w:t xml:space="preserve">: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30">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31">
    <w:p>
      <w:pPr>
        <w:pStyle w:val="FootnoteText"/>
      </w:pPr>
      <w:r>
        <w:rPr>
          <w:rStyle w:val="FootnoteReference"/>
        </w:rPr>
        <w:footnoteRef/>
      </w:r>
      <w:r>
        <w:t xml:space="preserve"> </w:t>
      </w:r>
      <w:r>
        <w:t xml:space="preserve">All participants quoted pseudonymously.</w:t>
      </w:r>
    </w:p>
  </w:footnote>
  <w:footnote w:id="32">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35">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36">
    <w:p>
      <w:pPr>
        <w:pStyle w:val="FootnoteText"/>
      </w:pPr>
      <w:r>
        <w:rPr>
          <w:rStyle w:val="FootnoteReference"/>
        </w:rPr>
        <w:footnoteRef/>
      </w:r>
      <w:r>
        <w:t xml:space="preserve"> </w:t>
      </w:r>
      <w:r>
        <w:t xml:space="preserve">This is likely a result of the gravity of the index offence (murder).</w:t>
      </w:r>
    </w:p>
  </w:footnote>
  <w:footnote w:id="37">
    <w:p>
      <w:pPr>
        <w:pStyle w:val="FootnoteText"/>
      </w:pPr>
      <w:r>
        <w:rPr>
          <w:rStyle w:val="FootnoteReference"/>
        </w:rPr>
        <w:footnoteRef/>
      </w:r>
      <w:r>
        <w:t xml:space="preserve"> </w:t>
      </w:r>
      <w:r>
        <w:t xml:space="preserve">Culpable:</w:t>
      </w:r>
      <w:r>
        <w:t xml:space="preserve"> </w:t>
      </w:r>
      <w:r>
        <w:t xml:space="preserve">‘guilty,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38">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41">
    <w:p>
      <w:pPr>
        <w:pStyle w:val="FootnoteText"/>
      </w:pPr>
      <w:r>
        <w:rPr>
          <w:rStyle w:val="FootnoteReference"/>
        </w:rPr>
        <w:footnoteRef/>
      </w:r>
      <w:r>
        <w:t xml:space="preserve"> </w:t>
      </w:r>
      <w:r>
        <w:t xml:space="preserve">‘Tightness’</w:t>
      </w:r>
      <w:r>
        <w:t xml:space="preserve"> </w:t>
      </w:r>
      <w:r>
        <w:t xml:space="preserve">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2025-11-18T10:58:04Z</dcterms:created>
  <dcterms:modified xsi:type="dcterms:W3CDTF">2025-11-18T10:58:04Z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lot">
    <vt:lpwstr>True</vt:lpwstr>
  </property>
  <property fmtid="{D5CDD505-2E9C-101B-9397-08002B2CF9AE}" pid="28" name="numbersections">
    <vt:lpwstr>False</vt:lpwstr>
  </property>
  <property fmtid="{D5CDD505-2E9C-101B-9397-08002B2CF9AE}" pid="29" name="subtitle">
    <vt:lpwstr>Adaptation, risk, and reform later in the life course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https://www.crimeandjustice.org.uk/sites/crimeandjustice.org.uk/files/PSJ%20261%2C%20Mature%20adulthood.pdf</vt:lpwstr>
  </property>
</Properties>
</file>