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22" w:name="availability"/>
    <w:p>
      <w:pPr>
        <w:pStyle w:val="Heading1"/>
      </w:pPr>
      <w:r>
        <w:t xml:space="preserve">Availability</w:t>
      </w:r>
    </w:p>
    <w:p>
      <w:pPr>
        <w:pStyle w:val="FirstParagraph"/>
      </w:pPr>
      <w:r>
        <w:t xml:space="preserve">The document archived</w:t>
      </w:r>
      <w:r>
        <w:t xml:space="preserve"> </w:t>
      </w:r>
      <w:hyperlink r:id="rId20">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21">
        <w:r>
          <w:rPr>
            <w:rStyle w:val="Hyperlink"/>
          </w:rPr>
          <w:t xml:space="preserve">https://academic.oup.com/bjc/article/60/6/1460/5828494</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2025-11-18T10:58:13Z</dcterms:created>
  <dcterms:modified xsi:type="dcterms:W3CDTF">2025-11-18T10:58:13Z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The offence and the life course in accounts of adaptation to life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https://www.repository.cam.ac.uk/handle/1810/304564</vt:lpwstr>
  </property>
</Properties>
</file>