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20"/>
      </w:r>
      <w:r>
        <w:t xml:space="preserve"> </w:t>
      </w:r>
      <w:r>
        <w:t xml:space="preserve">I’m still in prison. When I go out, I will still be on licence</w:t>
      </w:r>
      <w:r>
        <w:rPr>
          <w:rStyle w:val="FootnoteReference"/>
        </w:rPr>
        <w:footnoteReference w:id="21"/>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w:t>
      </w:r>
      <w:r>
        <w:t xml:space="preserve"> </w:t>
      </w:r>
      <w:r>
        <w:t xml:space="preserve">“how long have I got to do? How long am I going to be here for?”</w:t>
      </w:r>
      <w:r>
        <w:t xml:space="preserve"> </w:t>
      </w:r>
      <w:r>
        <w:t xml:space="preserve">And then it was a year, another year, another year [and] I started thinking,</w:t>
      </w:r>
      <w:r>
        <w:t xml:space="preserve"> </w:t>
      </w:r>
      <w:r>
        <w:t xml:space="preserve">“Pfffft… Part of the furniture now, innit?”</w:t>
      </w:r>
      <w:r>
        <w:rPr>
          <w:rStyle w:val="FootnoteReference"/>
        </w:rPr>
        <w:footnoteReference w:id="22"/>
      </w:r>
    </w:p>
    <w:p>
      <w:pPr>
        <w:pStyle w:val="FirstParagraph"/>
      </w:pPr>
      <w:r>
        <w:t xml:space="preserve">Grant and Jeff were both held in an open prison. Both aged around sixty and both convicted of murder many years before, Grant, who was nearing his</w:t>
      </w:r>
      <w:r>
        <w:t xml:space="preserve"> </w:t>
      </w:r>
      <w:r>
        <w:t xml:space="preserve">‘tariff’</w:t>
      </w:r>
      <w:r>
        <w:t xml:space="preserve"> </w:t>
      </w:r>
      <w:r>
        <w:t xml:space="preserve">date,</w:t>
      </w:r>
      <w:r>
        <w:rPr>
          <w:rStyle w:val="FootnoteReference"/>
        </w:rPr>
        <w:footnoteReference w:id="23"/>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w:t>
      </w:r>
      <w:r>
        <w:t xml:space="preserve"> </w:t>
      </w:r>
      <w:r>
        <w:t xml:space="preserve">‘part of the furniture’</w:t>
      </w:r>
      <w:r>
        <w:t xml:space="preserv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w:t>
      </w:r>
      <w:r>
        <w:t xml:space="preserve"> </w:t>
      </w:r>
      <w:r>
        <w:t xml:space="preserve">‘in no hurry’</w:t>
      </w:r>
      <w:r>
        <w:t xml:space="preserve">.</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w:t>
      </w:r>
      <w:r>
        <w:t xml:space="preserve"> </w:t>
      </w:r>
      <w:r>
        <w:t xml:space="preserve">‘do the right thing’</w:t>
      </w:r>
      <w:r>
        <w:t xml:space="preserve"> </w:t>
      </w:r>
      <w:r>
        <w:t xml:space="preserve">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24"/>
    <w:bookmarkStart w:id="26"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w:t>
      </w:r>
      <w:hyperlink w:anchor="ref-foucaultUsesPleasureHistory1986">
        <w:r>
          <w:rPr>
            <w:rStyle w:val="Hyperlink"/>
          </w:rPr>
          <w:t xml:space="preserve">1986</w:t>
        </w:r>
      </w:hyperlink>
      <w:r>
        <w:t xml:space="preserve">; e.g.</w:t>
      </w:r>
      <w:r>
        <w:t xml:space="preserve"> </w:t>
      </w:r>
      <w:hyperlink w:anchor="ref-foucaultHistorySexualityVolume1988">
        <w:r>
          <w:rPr>
            <w:rStyle w:val="Hyperlink"/>
          </w:rPr>
          <w:t xml:space="preserve">1988</w:t>
        </w:r>
      </w:hyperlink>
      <w:r>
        <w:t xml:space="preserve">)</w:t>
      </w:r>
      <w:r>
        <w:t xml:space="preserve"> </w:t>
      </w:r>
      <w:r>
        <w:t xml:space="preserve">for conceptual and theoretical foundations. In this view, ethics consists in striving to occupy a</w:t>
      </w:r>
      <w:r>
        <w:t xml:space="preserve"> </w:t>
      </w:r>
      <w:r>
        <w:t xml:space="preserve">‘subject position’</w:t>
      </w:r>
      <w:r>
        <w:t xml:space="preserve">.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25"/>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w:t>
      </w:r>
      <w:r>
        <w:t xml:space="preserve"> </w:t>
      </w:r>
      <w:r>
        <w:t xml:space="preserve">‘humanist’</w:t>
      </w:r>
      <w:r>
        <w:t xml:space="preserve"> </w:t>
      </w:r>
      <w:r>
        <w:t xml:space="preserve">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w:t>
      </w:r>
      <w:r>
        <w:t xml:space="preserve"> </w:t>
      </w:r>
      <w:r>
        <w:t xml:space="preserve">‘authoritative’</w:t>
      </w:r>
      <w:r>
        <w:t xml:space="preserve"> </w:t>
      </w:r>
      <w:r>
        <w:t xml:space="preserve">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w:t>
      </w:r>
      <w:r>
        <w:t xml:space="preserve"> </w:t>
      </w:r>
      <w:r>
        <w:t xml:space="preserve">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w:t>
      </w:r>
      <w:r>
        <w:t xml:space="preserve"> </w:t>
      </w:r>
      <w:r>
        <w:t xml:space="preserve">‘moral tragedy’</w:t>
      </w:r>
      <w:r>
        <w:t xml:space="preserve">: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w:t>
      </w:r>
      <w:r>
        <w:t xml:space="preserve"> </w:t>
      </w:r>
      <w:r>
        <w:t xml:space="preserve">‘ground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w:t>
      </w:r>
      <w:r>
        <w:t xml:space="preserve"> </w:t>
      </w:r>
      <w:r>
        <w:t xml:space="preserve">‘tight’</w:t>
      </w:r>
      <w:r>
        <w:t xml:space="preserve"> </w:t>
      </w:r>
      <w:r>
        <w:t xml:space="preserve">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w:t>
      </w:r>
      <w:r>
        <w:t xml:space="preserve"> </w:t>
      </w:r>
      <w:r>
        <w:t xml:space="preserve">‘ground projects’</w:t>
      </w:r>
      <w:r>
        <w:t xml:space="preserve">—or made these projects appear confoundingly difficult to pursue, even to the extent that they might appear (to officials) unethical.</w:t>
      </w:r>
      <w:r>
        <w:t xml:space="preserve"> </w:t>
      </w:r>
    </w:p>
    <w:bookmarkEnd w:id="26"/>
    <w:bookmarkStart w:id="34"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w:t>
      </w:r>
      <w:r>
        <w:t xml:space="preserve"> </w:t>
      </w:r>
      <w:r>
        <w:t xml:space="preserve">‘skills’</w:t>
      </w:r>
      <w:r>
        <w:t xml:space="preserve"> </w:t>
      </w:r>
      <w:r>
        <w:t xml:space="preserve">needed to better manage his emotions in (presumptively)</w:t>
      </w:r>
      <w:r>
        <w:t xml:space="preserve"> </w:t>
      </w:r>
      <w:r>
        <w:t xml:space="preserve">“healthier”</w:t>
      </w:r>
      <w:r>
        <w:t xml:space="preserve"> </w:t>
      </w:r>
      <w:r>
        <w:t xml:space="preserve">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w:t>
      </w:r>
      <w:r>
        <w:t xml:space="preserve"> </w:t>
      </w:r>
      <w:r>
        <w:t xml:space="preserve">“oh, don’t you trust women?”</w:t>
      </w:r>
      <w:r>
        <w:t xml:space="preserve"> </w:t>
      </w:r>
      <w:r>
        <w:t xml:space="preserve">I said,</w:t>
      </w:r>
      <w:r>
        <w:t xml:space="preserve"> </w:t>
      </w:r>
      <w:r>
        <w:t xml:space="preserve">“no, it’s not to do with that, it’s how I feel”</w:t>
      </w:r>
      <w:r>
        <w:t xml:space="preserve">. I said,</w:t>
      </w:r>
      <w:r>
        <w:t xml:space="preserve"> </w:t>
      </w:r>
      <w:r>
        <w:t xml:space="preserve">“supposing I meet someone”</w:t>
      </w:r>
      <w:r>
        <w:t xml:space="preserve">, […] I said,</w:t>
      </w:r>
      <w:r>
        <w:t xml:space="preserve"> </w:t>
      </w:r>
      <w:r>
        <w:t xml:space="preserve">“do I take her to the ballet, and then at half-time, over a gin and tonic, I say,</w:t>
      </w:r>
      <w:r>
        <w:t xml:space="preserve"> </w:t>
      </w:r>
      <w:r>
        <w:t xml:space="preserve">‘oh, by the way, I murdered my wife’</w:t>
      </w:r>
      <w:r>
        <w:t xml:space="preserve">?”</w:t>
      </w:r>
      <w:r>
        <w:t xml:space="preserve"> </w:t>
      </w:r>
      <w:r>
        <w:t xml:space="preserve">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w:t>
      </w:r>
      <w:r>
        <w:t xml:space="preserve"> </w:t>
      </w:r>
      <w:r>
        <w:t xml:space="preserve">‘skills’</w:t>
      </w:r>
      <w:r>
        <w:t xml:space="preserve">.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w:t>
      </w:r>
      <w:r>
        <w:t xml:space="preserve"> </w:t>
      </w:r>
      <w:r>
        <w:t xml:space="preserve">‘retributive subject’</w:t>
      </w:r>
      <w:r>
        <w:t xml:space="preserve">.</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w:t>
      </w:r>
      <w:r>
        <w:t xml:space="preserve"> </w:t>
      </w:r>
      <w:r>
        <w:t xml:space="preserve">‘skills’</w:t>
      </w:r>
      <w:r>
        <w:t xml:space="preserve"> </w:t>
      </w:r>
      <w:r>
        <w:t xml:space="preserve">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27"/>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w:t>
      </w:r>
      <w:r>
        <w:t xml:space="preserve"> </w:t>
      </w:r>
      <w:r>
        <w:t xml:space="preserve">“the courses that I’ve done and, like, the bereavement things I’ve done… about changing my beliefs, adapting them, dropping my beliefs completely…”</w:t>
      </w:r>
      <w:r>
        <w:t xml:space="preserve"> </w:t>
      </w:r>
      <w:r>
        <w:t xml:space="preserve">I said,</w:t>
      </w:r>
      <w:r>
        <w:t xml:space="preserve"> </w:t>
      </w:r>
      <w:r>
        <w:t xml:space="preserve">“isn’t it about time you looked at your beliefs?”</w:t>
      </w:r>
      <w:r>
        <w:t xml:space="preserve"> </w:t>
      </w:r>
      <w:r>
        <w:t xml:space="preserve">And he went silent. He just did not know what to say. Because I think he felt that maybe I was right. And then his attitude changed towards me and we got on great guns,</w:t>
      </w:r>
      <w:r>
        <w:rPr>
          <w:rStyle w:val="FootnoteReference"/>
        </w:rPr>
        <w:footnoteReference w:id="28"/>
      </w:r>
      <w:r>
        <w:t xml:space="preserve"> </w:t>
      </w:r>
      <w:r>
        <w:t xml:space="preserve">and we have ever since. I mean, he really has tried to help me.</w:t>
      </w:r>
      <w:r>
        <w:t xml:space="preserve"> </w:t>
      </w:r>
    </w:p>
    <w:p>
      <w:pPr>
        <w:pStyle w:val="FirstParagraph"/>
      </w:pPr>
      <w:r>
        <w:t xml:space="preserve">Offender managers (henceforth</w:t>
      </w:r>
      <w:r>
        <w:t xml:space="preserve"> </w:t>
      </w:r>
      <w:r>
        <w:t xml:space="preserve">‘OMs’</w:t>
      </w:r>
      <w:r>
        <w:t xml:space="preserve">)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w:t>
      </w:r>
      <w:r>
        <w:t xml:space="preserve"> </w:t>
      </w:r>
      <w:r>
        <w:t xml:space="preserve">‘costly signal’</w:t>
      </w:r>
      <w:r>
        <w:t xml:space="preserve"> </w:t>
      </w:r>
      <w:r>
        <w:t xml:space="preserve">of Grant’s being (ethically speaking) the</w:t>
      </w:r>
      <w:r>
        <w:t xml:space="preserve"> </w:t>
      </w:r>
      <w:r>
        <w:t xml:space="preserve">‘real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w:t>
      </w:r>
      <w:r>
        <w:t xml:space="preserve"> </w:t>
      </w:r>
      <w:r>
        <w:t xml:space="preserve">‘bad’</w:t>
      </w:r>
      <w:r>
        <w:t xml:space="preserve"> </w:t>
      </w:r>
      <w:r>
        <w:t xml:space="preserve">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w:t>
      </w:r>
      <w:r>
        <w:t xml:space="preserve">“it never came out in court”</w:t>
      </w:r>
      <w:r>
        <w:t xml:space="preserve">)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 Chapter 2</w:t>
        </w:r>
      </w:hyperlink>
      <w:r>
        <w:t xml:space="preserve">)</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w:t>
      </w:r>
      <w:r>
        <w:t xml:space="preserve"> </w:t>
      </w:r>
      <w:r>
        <w:t xml:space="preserve">‘ground project’</w:t>
      </w:r>
      <w:r>
        <w:t xml:space="preserve">: it had become so important to who he thought he was that he might</w:t>
      </w:r>
      <w:r>
        <w:t xml:space="preserve"> </w:t>
      </w:r>
      <w:r>
        <w:t xml:space="preserve">“not know [himself]”</w:t>
      </w:r>
      <w:r>
        <w:t xml:space="preserve"> </w:t>
      </w:r>
      <w:r>
        <w:t xml:space="preserve">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Chapter 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2019 Chapters 2–4</w:t>
        </w:r>
      </w:hyperlink>
      <w:r>
        <w:t xml:space="preserve">;</w:t>
      </w:r>
      <w:r>
        <w:t xml:space="preserve"> </w:t>
      </w:r>
      <w:hyperlink w:anchor="ref-irwinLifersSeekingRedemption2009">
        <w:r>
          <w:rPr>
            <w:rStyle w:val="Hyperlink"/>
          </w:rPr>
          <w:t xml:space="preserve">Irwin 2009 Chapter 5</w:t>
        </w:r>
      </w:hyperlink>
      <w:r>
        <w:t xml:space="preserve">)</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29"/>
      </w:r>
      <w:r>
        <w:t xml:space="preserve"> </w:t>
      </w:r>
      <w:r>
        <w:t xml:space="preserve">[…] It has been said to me by OMU</w:t>
      </w:r>
      <w:r>
        <w:rPr>
          <w:rStyle w:val="FootnoteReference"/>
        </w:rPr>
        <w:footnoteReference w:id="30"/>
      </w:r>
      <w:r>
        <w:t xml:space="preserve"> </w:t>
      </w:r>
      <w:r>
        <w:t xml:space="preserve">and my OM…</w:t>
      </w:r>
      <w:r>
        <w:t xml:space="preserve"> </w:t>
      </w:r>
      <w:r>
        <w:t xml:space="preserve">“You know, Grant, you don’t keep badgering</w:t>
      </w:r>
      <w:r>
        <w:rPr>
          <w:rStyle w:val="FootnoteReference"/>
        </w:rPr>
        <w:footnoteReference w:id="31"/>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w:t>
      </w:r>
      <w:r>
        <w:t xml:space="preserve"> </w:t>
      </w:r>
      <w:r>
        <w:t xml:space="preserve">“pushing”</w:t>
      </w:r>
      <w:r>
        <w:t xml:space="preserve"> </w:t>
      </w:r>
      <w:r>
        <w:t xml:space="preserve">his needs to the front of the queue by chasing them up. Where others campaigned for home leaves by</w:t>
      </w:r>
      <w:r>
        <w:t xml:space="preserve"> </w:t>
      </w:r>
      <w:r>
        <w:t xml:space="preserve">“manipulating the system”</w:t>
      </w:r>
      <w:r>
        <w:t xml:space="preserve"> </w:t>
      </w:r>
      <w:r>
        <w:t xml:space="preserve">(Grant’s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32"/>
      </w:r>
      <w:r>
        <w:t xml:space="preserve"> </w:t>
      </w:r>
      <w:r>
        <w:t xml:space="preserve">But I’ve got that little bit of hope […] If I was to hear tomorrow that– If I got a letter, saying,</w:t>
      </w:r>
      <w:r>
        <w:t xml:space="preserve"> </w:t>
      </w:r>
      <w:r>
        <w:t xml:space="preserve">“we never want to see you, you horrible bastard”</w:t>
      </w:r>
      <w:r>
        <w:t xml:space="preserve"> </w:t>
      </w:r>
      <w:r>
        <w:t xml:space="preserve">[sobbing] then I’d have nothing. I wouldn’t care about work. I wouldn’t care about getting out […] When I had my risk board,</w:t>
      </w:r>
      <w:r>
        <w:rPr>
          <w:rStyle w:val="FootnoteReference"/>
        </w:rPr>
        <w:footnoteReference w:id="33"/>
      </w:r>
      <w:r>
        <w:t xml:space="preserve"> </w:t>
      </w:r>
      <w:r>
        <w:t xml:space="preserve">the governor, she said to me […]</w:t>
      </w:r>
      <w:r>
        <w:t xml:space="preserve"> </w:t>
      </w:r>
      <w:r>
        <w:t xml:space="preserve">“you can’t try and contact these names”</w:t>
      </w:r>
      <w:r>
        <w:t xml:space="preserve">. And two of the names were my children. And she said,</w:t>
      </w:r>
      <w:r>
        <w:t xml:space="preserve"> </w:t>
      </w:r>
      <w:r>
        <w:t xml:space="preserve">“is that an issue?”</w:t>
      </w:r>
      <w:r>
        <w:t xml:space="preserve"> </w:t>
      </w:r>
      <w:r>
        <w:t xml:space="preserve">I went,</w:t>
      </w:r>
      <w:r>
        <w:t xml:space="preserve"> </w:t>
      </w:r>
      <w:r>
        <w:t xml:space="preserve">“yeah, of course it’s a bloody issue, but it’s not a problem”</w:t>
      </w:r>
      <w:r>
        <w:t xml:space="preserve"> </w:t>
      </w:r>
      <w:r>
        <w:t xml:space="preserve">[…]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34"/>
    <w:bookmarkStart w:id="36"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w:t>
      </w:r>
      <w:r>
        <w:t xml:space="preserve"> </w:t>
      </w:r>
      <w:r>
        <w:t xml:space="preserve">“oh, he’s a sex offender, he’s in for killing a kid, he’s in for this, that, the other”</w:t>
      </w:r>
      <w:r>
        <w:t xml:space="preserve">.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35"/>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w:t>
      </w:r>
      <w:r>
        <w:t xml:space="preserve"> </w:t>
      </w:r>
      <w:r>
        <w:t xml:space="preserve">‘strength’</w:t>
      </w:r>
      <w:r>
        <w:t xml:space="preserve"> </w:t>
      </w:r>
      <w:r>
        <w:t xml:space="preserve">here is significant, as is the whiff of moral coercion—Jeff’s feeling that he had</w:t>
      </w:r>
      <w:r>
        <w:t xml:space="preserve"> </w:t>
      </w:r>
      <w:r>
        <w:t xml:space="preserve">“got to do it”</w:t>
      </w:r>
      <w:r>
        <w:t xml:space="preserve">.</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w:t>
      </w:r>
      <w:r>
        <w:t xml:space="preserve"> </w:t>
      </w:r>
      <w:r>
        <w:t xml:space="preserve">‘hard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w:t>
      </w:r>
      <w:r>
        <w:t xml:space="preserve"> </w:t>
      </w:r>
      <w:r>
        <w:t xml:space="preserve">“understanding”</w:t>
      </w:r>
      <w:r>
        <w:t xml:space="preserve"> </w:t>
      </w:r>
      <w:r>
        <w:t xml:space="preserve">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w:t>
      </w:r>
      <w:r>
        <w:t xml:space="preserve"> </w:t>
      </w:r>
      <w:r>
        <w:t xml:space="preserve">‘dull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w:t>
      </w:r>
      <w:r>
        <w:t xml:space="preserve"> </w:t>
      </w:r>
      <w:r>
        <w:t xml:space="preserve">‘vulnerable’</w:t>
      </w:r>
      <w:r>
        <w:t xml:space="preserve"> </w:t>
      </w:r>
      <w:r>
        <w:t xml:space="preserve">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w:t>
      </w:r>
      <w:r>
        <w:t xml:space="preserve"> </w:t>
      </w:r>
      <w:r>
        <w:t xml:space="preserve">“Oh, they’re ill,”</w:t>
      </w:r>
      <w:r>
        <w:t xml:space="preserve"> </w:t>
      </w:r>
      <w:r>
        <w:t xml:space="preserve">and this, that and the other, and</w:t>
      </w:r>
      <w:r>
        <w:t xml:space="preserve"> </w:t>
      </w:r>
      <w:r>
        <w:t xml:space="preserve">“they haven’t got that long left”</w:t>
      </w:r>
      <w:r>
        <w:t xml:space="preserve">.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w:t>
      </w:r>
      <w:r>
        <w:t xml:space="preserve"> </w:t>
      </w:r>
      <w:r>
        <w:t xml:space="preserve">‘high’</w:t>
      </w:r>
      <w:r>
        <w:t xml:space="preserve"> </w:t>
      </w:r>
      <w:r>
        <w:t xml:space="preserve">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w:t>
      </w:r>
      <w:r>
        <w:t xml:space="preserve"> </w:t>
      </w:r>
      <w:r>
        <w:t xml:space="preserve">“Oh, when I come out, I might not be able to see the kids and I’ve got to have permission to see you.”</w:t>
      </w:r>
      <w:r>
        <w:t xml:space="preserve"> </w:t>
      </w:r>
      <w:r>
        <w:t xml:space="preserve">She’s going,</w:t>
      </w:r>
      <w:r>
        <w:t xml:space="preserve"> </w:t>
      </w:r>
      <w:r>
        <w:t xml:space="preserve">“Why? Why? Why? What’s…?”</w:t>
      </w:r>
      <w:r>
        <w:t xml:space="preserve"> </w:t>
      </w:r>
      <w:r>
        <w:t xml:space="preserve">and then she said that again:</w:t>
      </w:r>
      <w:r>
        <w:t xml:space="preserve"> </w:t>
      </w:r>
      <w:r>
        <w:t xml:space="preserve">“You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w:t>
      </w:r>
      <w:r>
        <w:t xml:space="preserve"> </w:t>
      </w:r>
      <w:r>
        <w:t xml:space="preserve">“You’ve got all these licence conditions that you want me to do.”</w:t>
      </w:r>
      <w:r>
        <w:t xml:space="preserve"> </w:t>
      </w:r>
      <w:r>
        <w:t xml:space="preserve">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w:t>
      </w:r>
      <w:r>
        <w:t xml:space="preserve"> </w:t>
      </w:r>
      <w:r>
        <w:t xml:space="preserve">“said sorry”</w:t>
      </w:r>
      <w:r>
        <w:t xml:space="preserve"> </w:t>
      </w:r>
      <w:r>
        <w:t xml:space="preserve">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w:t>
      </w:r>
      <w:r>
        <w:t xml:space="preserve">“conditions you want me to do”</w:t>
      </w:r>
      <w:r>
        <w:t xml:space="preserve">, above).</w:t>
      </w:r>
      <w:r>
        <w:t xml:space="preserve"> </w:t>
      </w:r>
      <w:r>
        <w:t xml:space="preserve"> </w:t>
      </w:r>
      <w:r>
        <w:t xml:space="preserve">He believed his duty was to accept censure and endure hard treatment, not to subjectivate himself to a more exacting (and ambiguous) set of demands he hardly understood. This, and</w:t>
      </w:r>
      <w:r>
        <w:t xml:space="preserve"> </w:t>
      </w:r>
      <w:r>
        <w:t xml:space="preserve">‘outsourcing’</w:t>
      </w:r>
      <w:r>
        <w:t xml:space="preserve"> </w:t>
      </w:r>
      <w:r>
        <w:t xml:space="preserve">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w:t>
      </w:r>
      <w:r>
        <w:t xml:space="preserve"> </w:t>
      </w:r>
      <w:r>
        <w:t xml:space="preserve">‘enough’</w:t>
      </w:r>
      <w:r>
        <w:t xml:space="preserve"> </w:t>
      </w:r>
      <w:r>
        <w:t xml:space="preserve">pain—was similar to Grant’s. However, it was also less successful, in that it was less likely to be recognised as a coherent ethical presentation, and (in its passivity) was less compatible with the</w:t>
      </w:r>
      <w:r>
        <w:t xml:space="preserve"> </w:t>
      </w:r>
      <w:r>
        <w:t xml:space="preserve">‘tight’</w:t>
      </w:r>
      <w:r>
        <w:t xml:space="preserve"> </w:t>
      </w:r>
      <w:r>
        <w:t xml:space="preserve">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w:t>
      </w:r>
      <w:r>
        <w:t xml:space="preserve"> </w:t>
      </w:r>
      <w:r>
        <w:t xml:space="preserve">“[met] the criteria for mild intellectual disability”</w:t>
      </w:r>
      <w:r>
        <w:t xml:space="preserve">; another recorded that he had</w:t>
      </w:r>
      <w:r>
        <w:t xml:space="preserve"> </w:t>
      </w:r>
      <w:r>
        <w:t xml:space="preserve">“antisocial personality problems, untreatable”</w:t>
      </w:r>
      <w:r>
        <w:t xml:space="preserve">, and was</w:t>
      </w:r>
      <w:r>
        <w:t xml:space="preserve"> </w:t>
      </w:r>
      <w:r>
        <w:t xml:space="preserve">“bordering on psychopathic”</w:t>
      </w:r>
      <w:r>
        <w:t xml:space="preserve">.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36"/>
    <w:bookmarkStart w:id="37" w:name="X85a3f4dd66868cb7711bd1d35f8b4f78bb7e10b"/>
    <w:p>
      <w:pPr>
        <w:pStyle w:val="Heading1"/>
      </w:pPr>
      <w:r>
        <w:t xml:space="preserve">Conclusion: risk-driven punishment as an incapacitative</w:t>
      </w:r>
      <w:r>
        <w:t xml:space="preserve"> </w:t>
      </w:r>
      <w:r>
        <w:t xml:space="preserve">‘morality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w:t>
      </w:r>
      <w:r>
        <w:t xml:space="preserve"> </w:t>
      </w:r>
      <w:r>
        <w:t xml:space="preserve">“morality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w:t>
      </w:r>
      <w:r>
        <w:t xml:space="preserve"> </w:t>
      </w:r>
      <w:r>
        <w:t xml:space="preserve">“blame [the] characteristic reaction of the morality system”</w:t>
      </w:r>
      <w:r>
        <w:t xml:space="preserve">, and</w:t>
      </w:r>
      <w:r>
        <w:t xml:space="preserve"> </w:t>
      </w:r>
      <w:r>
        <w:t xml:space="preserve">“remorse or self-reproach or guilt […] [its] characteristic first-person reaction”</w:t>
      </w:r>
      <w:r>
        <w:t xml:space="preserve">. Without experiencing these, individual persons</w:t>
      </w:r>
      <w:r>
        <w:t xml:space="preserve"> </w:t>
      </w:r>
      <w:r>
        <w:t xml:space="preserve">“would not belong to the morality system or be a full moral agent in its terms”</w:t>
      </w:r>
      <w:r>
        <w:t xml:space="preserve">.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w:t>
      </w:r>
      <w:r>
        <w:t xml:space="preserve"> </w:t>
      </w:r>
      <w:r>
        <w:t xml:space="preserve">‘dangerous’</w:t>
      </w:r>
      <w:r>
        <w:t xml:space="preserve">. Their moral status, therefore, was</w:t>
      </w:r>
      <w:r>
        <w:t xml:space="preserve"> </w:t>
      </w:r>
      <w:r>
        <w:t xml:space="preserve">‘overdetermined’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w:t>
      </w:r>
      <w:r>
        <w:t xml:space="preserve"> </w:t>
      </w:r>
      <w:r>
        <w:t xml:space="preserve">‘changed’</w:t>
      </w:r>
      <w:r>
        <w:t xml:space="preserve">.</w:t>
      </w:r>
    </w:p>
    <w:p>
      <w:pPr>
        <w:pStyle w:val="BodyText"/>
      </w:pPr>
      <w:r>
        <w:t xml:space="preserve">On the other hand, their classification as</w:t>
      </w:r>
      <w:r>
        <w:t xml:space="preserve"> </w:t>
      </w:r>
      <w:r>
        <w:t xml:space="preserve">‘dangerous’</w:t>
      </w:r>
      <w:r>
        <w:t xml:space="preserve"> </w:t>
      </w:r>
      <w:r>
        <w:t xml:space="preserve">(to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37"/>
    <w:bookmarkStart w:id="82" w:name="references"/>
    <w:p>
      <w:pPr>
        <w:pStyle w:val="Heading1"/>
      </w:pPr>
      <w:r>
        <w:t xml:space="preserve">References</w:t>
      </w:r>
    </w:p>
    <w:bookmarkStart w:id="81" w:name="refs"/>
    <w:bookmarkStart w:id="39"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38">
        <w:r>
          <w:rPr>
            <w:rStyle w:val="Hyperlink"/>
          </w:rPr>
          <w:t xml:space="preserve">10/gmzwk6</w:t>
        </w:r>
      </w:hyperlink>
    </w:p>
    <w:bookmarkEnd w:id="39"/>
    <w:bookmarkStart w:id="40"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40"/>
    <w:bookmarkStart w:id="41"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41"/>
    <w:bookmarkStart w:id="42"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42"/>
    <w:bookmarkStart w:id="43"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43"/>
    <w:bookmarkStart w:id="44"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44"/>
    <w:bookmarkStart w:id="45"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45"/>
    <w:bookmarkStart w:id="46"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6"/>
    <w:bookmarkStart w:id="47"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47"/>
    <w:bookmarkStart w:id="48"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48"/>
    <w:bookmarkStart w:id="49"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49"/>
    <w:bookmarkStart w:id="50"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50"/>
    <w:bookmarkStart w:id="51"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51"/>
    <w:bookmarkStart w:id="52"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52"/>
    <w:bookmarkStart w:id="53"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53"/>
    <w:bookmarkStart w:id="54"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54"/>
    <w:bookmarkStart w:id="55"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55"/>
    <w:bookmarkStart w:id="56"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56"/>
    <w:bookmarkStart w:id="57"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57"/>
    <w:bookmarkStart w:id="58"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58"/>
    <w:bookmarkStart w:id="59"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59"/>
    <w:bookmarkStart w:id="60"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60"/>
    <w:bookmarkStart w:id="61"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61"/>
    <w:bookmarkStart w:id="62"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62"/>
    <w:bookmarkStart w:id="63"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63"/>
    <w:bookmarkStart w:id="64"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64"/>
    <w:bookmarkStart w:id="65"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5"/>
    <w:bookmarkStart w:id="66"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66"/>
    <w:bookmarkStart w:id="67"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67"/>
    <w:bookmarkStart w:id="68"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68"/>
    <w:bookmarkStart w:id="69"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69"/>
    <w:bookmarkStart w:id="70"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70"/>
    <w:bookmarkStart w:id="71"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71"/>
    <w:bookmarkStart w:id="72"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72"/>
    <w:bookmarkStart w:id="73"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73"/>
    <w:bookmarkStart w:id="74"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74"/>
    <w:bookmarkStart w:id="75"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75"/>
    <w:bookmarkStart w:id="76"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76"/>
    <w:bookmarkStart w:id="77"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77"/>
    <w:bookmarkStart w:id="78"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78"/>
    <w:bookmarkStart w:id="79"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79"/>
    <w:bookmarkStart w:id="80"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80"/>
    <w:bookmarkEnd w:id="81"/>
    <w:bookmarkEnd w:id="8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‘B-cat’</w:t>
      </w:r>
      <w:r>
        <w:t xml:space="preserve">,</w:t>
      </w:r>
      <w:r>
        <w:t xml:space="preserve"> </w:t>
      </w:r>
      <w:r>
        <w:t xml:space="preserve">‘C-cat’</w:t>
      </w:r>
      <w:r>
        <w:t xml:space="preserve"> </w:t>
      </w:r>
      <w:r>
        <w:t xml:space="preserve">and</w:t>
      </w:r>
      <w:r>
        <w:t xml:space="preserve"> </w:t>
      </w:r>
      <w:r>
        <w:t xml:space="preserve">‘D-cat’</w:t>
      </w:r>
      <w:r>
        <w:t xml:space="preserve">: security classifications for male prisoners in England and Wales. Category-A prisoners are held in maximum-security conditions. Category-D prisoners are held in</w:t>
      </w:r>
      <w:r>
        <w:t xml:space="preserve"> </w:t>
      </w:r>
      <w:r>
        <w:t xml:space="preserve">‘open’</w:t>
      </w:r>
      <w:r>
        <w:t xml:space="preserve"> </w:t>
      </w:r>
      <w:r>
        <w:t xml:space="preserve">prisons, involving the lowest degree of restrictions. Categories B and C are intermediate steps.</w:t>
      </w:r>
    </w:p>
  </w:footnote>
  <w:footnote w:id="21">
    <w:p>
      <w:pPr>
        <w:pStyle w:val="FootnoteText"/>
      </w:pPr>
      <w:r>
        <w:rPr>
          <w:rStyle w:val="FootnoteReference"/>
        </w:rPr>
        <w:footnoteRef/>
      </w:r>
      <w:r>
        <w:t xml:space="preserve"> </w:t>
      </w:r>
      <w:r>
        <w:t xml:space="preserve">‘On licence’</w:t>
      </w:r>
      <w:r>
        <w:t xml:space="preserve">: subject to formal supervision requirements and control measures. These are imposed for life and non-compliance with them can prompt recall to custody.</w:t>
      </w:r>
    </w:p>
  </w:footnote>
  <w:footnote w:id="22">
    <w:p>
      <w:pPr>
        <w:pStyle w:val="FootnoteText"/>
      </w:pPr>
      <w:r>
        <w:rPr>
          <w:rStyle w:val="FootnoteReference"/>
        </w:rPr>
        <w:footnoteRef/>
      </w:r>
      <w:r>
        <w:t xml:space="preserve"> </w:t>
      </w:r>
      <w:r>
        <w:t xml:space="preserve">i.e. having become invisible or unnoticed, usually through lengthy occupation of a scene.</w:t>
      </w:r>
    </w:p>
  </w:footnote>
  <w:footnote w:id="23">
    <w:p>
      <w:pPr>
        <w:pStyle w:val="FootnoteText"/>
      </w:pPr>
      <w:r>
        <w:rPr>
          <w:rStyle w:val="FootnoteReference"/>
        </w:rPr>
        <w:footnoteRef/>
      </w:r>
      <w:r>
        <w:t xml:space="preserve"> </w:t>
      </w:r>
      <w:r>
        <w:t xml:space="preserve">i.e. the end of the</w:t>
      </w:r>
      <w:r>
        <w:t xml:space="preserve"> </w:t>
      </w:r>
      <w:r>
        <w:t xml:space="preserve">‘minimum term’</w:t>
      </w:r>
      <w:r>
        <w:t xml:space="preserve"> </w:t>
      </w:r>
      <w:r>
        <w:t xml:space="preserve">to be served in custody, marking the end of the</w:t>
      </w:r>
      <w:r>
        <w:t xml:space="preserve"> </w:t>
      </w:r>
      <w:r>
        <w:t xml:space="preserve">‘penalty phase’</w:t>
      </w:r>
      <w:r>
        <w:t xml:space="preserve"> </w:t>
      </w:r>
      <w:r>
        <w:t xml:space="preserve">of a life sentence.</w:t>
      </w:r>
    </w:p>
  </w:footnote>
  <w:footnote w:id="25">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27">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28">
    <w:p>
      <w:pPr>
        <w:pStyle w:val="FootnoteText"/>
      </w:pPr>
      <w:r>
        <w:rPr>
          <w:rStyle w:val="FootnoteReference"/>
        </w:rPr>
        <w:footnoteRef/>
      </w:r>
      <w:r>
        <w:t xml:space="preserve"> </w:t>
      </w:r>
      <w:r>
        <w:t xml:space="preserve">i.e. got on very well together, formed a very good relationship.</w:t>
      </w:r>
    </w:p>
  </w:footnote>
  <w:footnote w:id="29">
    <w:p>
      <w:pPr>
        <w:pStyle w:val="FootnoteText"/>
      </w:pPr>
      <w:r>
        <w:rPr>
          <w:rStyle w:val="FootnoteReference"/>
        </w:rPr>
        <w:footnoteRef/>
      </w:r>
      <w:r>
        <w:t xml:space="preserve"> </w:t>
      </w:r>
      <w:r>
        <w:t xml:space="preserve">‘Part and parcel’</w:t>
      </w:r>
      <w:r>
        <w:t xml:space="preserve"> </w:t>
      </w:r>
      <w:r>
        <w:t xml:space="preserve">-</w:t>
      </w:r>
      <w:r>
        <w:t xml:space="preserve"> </w:t>
      </w:r>
      <w:r>
        <w:t xml:space="preserve">“that’s an integral part of the situation”</w:t>
      </w:r>
      <w:r>
        <w:t xml:space="preserve">,</w:t>
      </w:r>
      <w:r>
        <w:t xml:space="preserve"> </w:t>
      </w:r>
      <w:r>
        <w:t xml:space="preserve">“that’s just the way things are”</w:t>
      </w:r>
    </w:p>
  </w:footnote>
  <w:footnote w:id="30">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31">
    <w:p>
      <w:pPr>
        <w:pStyle w:val="FootnoteText"/>
      </w:pPr>
      <w:r>
        <w:rPr>
          <w:rStyle w:val="FootnoteReference"/>
        </w:rPr>
        <w:footnoteRef/>
      </w:r>
      <w:r>
        <w:t xml:space="preserve"> </w:t>
      </w:r>
      <w:r>
        <w:t xml:space="preserve">‘Badgering’</w:t>
      </w:r>
      <w:r>
        <w:t xml:space="preserve">: persistently and repeatedly asking the same question.</w:t>
      </w:r>
    </w:p>
  </w:footnote>
  <w:footnote w:id="32">
    <w:p>
      <w:pPr>
        <w:pStyle w:val="FootnoteText"/>
      </w:pPr>
      <w:r>
        <w:rPr>
          <w:rStyle w:val="FootnoteReference"/>
        </w:rPr>
        <w:footnoteRef/>
      </w:r>
      <w:r>
        <w:t xml:space="preserve"> </w:t>
      </w:r>
      <w:r>
        <w:t xml:space="preserve">Rhyming slang:</w:t>
      </w:r>
      <w:r>
        <w:t xml:space="preserve"> </w:t>
      </w:r>
      <w:r>
        <w:t xml:space="preserve">“Scooby[-Doo]”</w:t>
      </w:r>
      <w:r>
        <w:t xml:space="preserve"> </w:t>
      </w:r>
      <w:r>
        <w:t xml:space="preserve">=</w:t>
      </w:r>
      <w:r>
        <w:t xml:space="preserve"> </w:t>
      </w:r>
      <w:r>
        <w:t xml:space="preserve">“clue”</w:t>
      </w:r>
      <w:r>
        <w:t xml:space="preserve">. Hence,</w:t>
      </w:r>
      <w:r>
        <w:t xml:space="preserve"> </w:t>
      </w:r>
      <w:r>
        <w:t xml:space="preserve">“I have absolutely no idea”</w:t>
      </w:r>
      <w:r>
        <w:t xml:space="preserve">.</w:t>
      </w:r>
    </w:p>
  </w:footnote>
  <w:footnote w:id="33">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35">
    <w:p>
      <w:pPr>
        <w:pStyle w:val="FootnoteText"/>
      </w:pPr>
      <w:r>
        <w:rPr>
          <w:rStyle w:val="FootnoteReference"/>
        </w:rPr>
        <w:footnoteRef/>
      </w:r>
      <w:r>
        <w:t xml:space="preserve"> </w:t>
      </w:r>
      <w:r>
        <w:t xml:space="preserve">“Does your head in”</w:t>
      </w:r>
      <w:r>
        <w:t xml:space="preserve"> </w:t>
      </w:r>
      <w:r>
        <w:t xml:space="preserve">-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2025-11-18T10:58:19Z</dcterms:created>
  <dcterms:modified xsi:type="dcterms:W3CDTF">2025-11-18T10:58:19Z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Risk governance and moral thwarting among life-sentenced men in English prisons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