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vailability"/>
    <w:p>
      <w:pPr>
        <w:pStyle w:val="Heading1"/>
      </w:pPr>
      <w:r>
        <w:t xml:space="preserve">Availability</w:t>
      </w:r>
    </w:p>
    <w:p>
      <w:pPr>
        <w:pStyle w:val="FirstParagraph"/>
      </w:pPr>
      <w:r>
        <w:t xml:space="preserve">Full report available via</w:t>
      </w:r>
      <w:r>
        <w:t xml:space="preserve"> </w:t>
      </w:r>
      <w:hyperlink r:id="rId20">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24">
              <w:r>
                <w:rPr>
                  <w:rStyle w:val="Hyperlink"/>
                </w:rPr>
                <w:t xml:space="preserve">https://doi.org/10.17863/CAM.38676</w:t>
              </w:r>
            </w:hyperlink>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2025-11-18T10:58:31Z</dcterms:created>
  <dcterms:modified xsi:type="dcterms:W3CDTF">2025-11-18T10:58:31Z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references">
    <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https://www.repository.cam.ac.uk/handle/1810/287561</vt:lpwstr>
  </property>
</Properties>
</file>