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24"/>
    <w:bookmarkStart w:id="25"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25"/>
    <w:bookmarkStart w:id="28"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w:t>
      </w:r>
      <w:r>
        <w:t xml:space="preserve"> </w:t>
      </w:r>
      <w:r>
        <w:t xml:space="preserve">‘child abuse’</w:t>
      </w:r>
      <w:r>
        <w:t xml:space="preserve">,</w:t>
      </w:r>
      <w:r>
        <w:t xml:space="preserve"> </w:t>
      </w:r>
      <w:r>
        <w:t xml:space="preserve">‘safeguarding’</w:t>
      </w:r>
      <w:r>
        <w:t xml:space="preserve"> </w:t>
      </w:r>
      <w:r>
        <w:t xml:space="preserve">and</w:t>
      </w:r>
      <w:r>
        <w:t xml:space="preserve"> </w:t>
      </w:r>
      <w:r>
        <w:t xml:space="preserve">‘child protection’</w:t>
      </w:r>
      <w:r>
        <w:t xml:space="preserve">, which have all acquired something like their current meanings only quite recently.</w:t>
      </w:r>
    </w:p>
    <w:bookmarkStart w:id="26" w:name="terminology-relating-to-child-abuse"/>
    <w:p>
      <w:pPr>
        <w:pStyle w:val="Heading2"/>
      </w:pPr>
      <w:r>
        <w:t xml:space="preserve">Terminology relating to</w:t>
      </w:r>
      <w:r>
        <w:t xml:space="preserve"> </w:t>
      </w:r>
      <w:r>
        <w:t xml:space="preserve">‘child abuse’</w:t>
      </w:r>
    </w:p>
    <w:p>
      <w:pPr>
        <w:pStyle w:val="FirstParagraph"/>
      </w:pPr>
      <w:r>
        <w:t xml:space="preserve">The concept of</w:t>
      </w:r>
      <w:r>
        <w:t xml:space="preserve"> </w:t>
      </w:r>
      <w:r>
        <w:t xml:space="preserve">‘child abuse’</w:t>
      </w:r>
      <w:r>
        <w:t xml:space="preserve"> </w:t>
      </w:r>
      <w:r>
        <w:t xml:space="preserve">has shifted significantly since the 1960s. As this quote from Ian Hacking makes clear, this is partly a question of how the problem has been defined.</w:t>
      </w:r>
    </w:p>
    <w:bookmarkEnd w:id="26"/>
    <w:bookmarkStart w:id="27"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27"/>
    <w:bookmarkEnd w:id="28"/>
    <w:bookmarkStart w:id="29" w:name="X08245971cf330eec2c19e4ba740e08419ced9a1"/>
    <w:p>
      <w:pPr>
        <w:pStyle w:val="Heading1"/>
      </w:pPr>
      <w:r>
        <w:t xml:space="preserve">‘Child abuse’</w:t>
      </w:r>
      <w:r>
        <w:t xml:space="preserve"> </w:t>
      </w:r>
      <w:r>
        <w:t xml:space="preserve">terminology in the Prison Service</w:t>
      </w:r>
    </w:p>
    <w:p>
      <w:pPr>
        <w:pStyle w:val="FirstParagraph"/>
      </w:pPr>
      <w:r>
        <w:t xml:space="preserve">These questions of definition matter very much, because in a closed institution like a prison they determine what gets categorised as</w:t>
      </w:r>
      <w:r>
        <w:t xml:space="preserve"> </w:t>
      </w:r>
      <w:r>
        <w:t xml:space="preserve">‘abuse’</w:t>
      </w:r>
      <w:r>
        <w:t xml:space="preserve"> </w:t>
      </w:r>
      <w:r>
        <w:t xml:space="preserve">or a</w:t>
      </w:r>
      <w:r>
        <w:t xml:space="preserve"> </w:t>
      </w:r>
      <w:r>
        <w:t xml:space="preserve">‘child protection issue’</w:t>
      </w:r>
      <w:r>
        <w:t xml:space="preserv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w:t>
      </w:r>
      <w:r>
        <w:t xml:space="preserve"> </w:t>
      </w:r>
      <w:r>
        <w:t xml:space="preserve">‘child protection issues’</w:t>
      </w:r>
      <w:r>
        <w:t xml:space="preserve"> </w:t>
      </w:r>
      <w:r>
        <w:t xml:space="preserve">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29"/>
    <w:bookmarkStart w:id="30"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w:t>
      </w:r>
      <w:r>
        <w:t xml:space="preserve"> </w:t>
      </w:r>
      <w:r>
        <w:t xml:space="preserve">‘establishments of interest’</w:t>
      </w:r>
      <w:r>
        <w:t xml:space="preserve">.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w:t>
      </w:r>
      <w:r>
        <w:t xml:space="preserve"> </w:t>
      </w:r>
      <w:r>
        <w:t xml:space="preserve">‘abuse’</w:t>
      </w:r>
      <w:r>
        <w:t xml:space="preserve">. With respect to a prison environment, this is quite a broad definition.</w:t>
      </w:r>
    </w:p>
    <w:bookmarkEnd w:id="30"/>
    <w:bookmarkStart w:id="31"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31"/>
    <w:bookmarkStart w:id="32"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32"/>
    <w:bookmarkStart w:id="33"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33"/>
    <w:bookmarkStart w:id="34"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34"/>
    <w:bookmarkStart w:id="35"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w:t>
      </w:r>
      <w:r>
        <w:t xml:space="preserve"> </w:t>
      </w:r>
      <w:r>
        <w:t xml:space="preserve">‘child protection’</w:t>
      </w:r>
      <w:r>
        <w:t xml:space="preserve"> </w:t>
      </w:r>
      <w:r>
        <w:t xml:space="preserve">discourse that problematised what had previously, presumably, been completely unquestioned and taken for granted.</w:t>
      </w:r>
    </w:p>
    <w:p>
      <w:pPr>
        <w:pStyle w:val="BodyText"/>
      </w:pPr>
      <w:r>
        <w:t xml:space="preserve">I said</w:t>
      </w:r>
      <w:r>
        <w:t xml:space="preserve"> </w:t>
      </w:r>
      <w:r>
        <w:t xml:space="preserve">‘almost silent’</w:t>
      </w:r>
      <w:r>
        <w:t xml:space="preserve">.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35"/>
    <w:bookmarkStart w:id="36"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w:t>
      </w:r>
      <w:r>
        <w:t xml:space="preserve"> </w:t>
      </w:r>
      <w:r>
        <w:t xml:space="preserve">‘in confidence’</w:t>
      </w:r>
      <w:r>
        <w:t xml:space="preserv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w:t>
      </w:r>
      <w:r>
        <w:t xml:space="preserve"> </w:t>
      </w:r>
      <w:r>
        <w:t xml:space="preserve">‘where nothing of any import ever occurs’</w:t>
      </w:r>
      <w:r>
        <w:t xml:space="preserve"> </w:t>
      </w:r>
      <w:r>
        <w:t xml:space="preserve">and which is</w:t>
      </w:r>
      <w:r>
        <w:t xml:space="preserve"> </w:t>
      </w:r>
      <w:r>
        <w:t xml:space="preserve">‘unlikely to cause any problems’</w:t>
      </w:r>
      <w:r>
        <w:t xml:space="preserve">.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w:t>
      </w:r>
      <w:r>
        <w:t xml:space="preserve"> </w:t>
      </w:r>
      <w:r>
        <w:t xml:space="preserve">‘grooming’</w:t>
      </w:r>
      <w:r>
        <w:t xml:space="preserve"> </w:t>
      </w:r>
      <w:r>
        <w:t xml:space="preserve">has not yet entered their lexicon, so they are unable to see this for what it is.</w:t>
      </w:r>
    </w:p>
    <w:p>
      <w:pPr>
        <w:pStyle w:val="BodyText"/>
      </w:pPr>
      <w:r>
        <w:t xml:space="preserve">So my argument here is one about how we can use hindsight. This isn’t about combing the archive for</w:t>
      </w:r>
      <w:r>
        <w:t xml:space="preserve"> </w:t>
      </w:r>
      <w:r>
        <w:t xml:space="preserve">‘gotchas’</w:t>
      </w:r>
      <w:r>
        <w:t xml:space="preserve">; it’s about proving the point that archival silences may well indicate risks that were overlooked.</w:t>
      </w:r>
    </w:p>
    <w:bookmarkEnd w:id="36"/>
    <w:bookmarkStart w:id="37"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w:t>
      </w:r>
      <w:r>
        <w:t xml:space="preserve"> </w:t>
      </w:r>
      <w:r>
        <w:t xml:space="preserve">‘from below’</w:t>
      </w:r>
      <w:r>
        <w:t xml:space="preserve">. It’s as close as we found to a direct record of detainees’ lived experience.</w:t>
      </w:r>
    </w:p>
    <w:p>
      <w:pPr>
        <w:pStyle w:val="BodyText"/>
      </w:pPr>
      <w:r>
        <w:t xml:space="preserve">Ericson records that officers at Whatton sometimes used violence themselves, but mostly allowed high-status inmates (nicknamed</w:t>
      </w:r>
      <w:r>
        <w:t xml:space="preserve"> </w:t>
      </w:r>
      <w:r>
        <w:t xml:space="preserve">‘daddies’</w:t>
      </w:r>
      <w:r>
        <w:t xml:space="preserve">) to keep order using violence and kangaroo courts.</w:t>
      </w:r>
      <w:r>
        <w:t xml:space="preserve"> </w:t>
      </w:r>
      <w:r>
        <w:t xml:space="preserve">‘Daddies’</w:t>
      </w:r>
      <w:r>
        <w:t xml:space="preserve"> </w:t>
      </w:r>
      <w:r>
        <w:t xml:space="preserve">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w:t>
      </w:r>
      <w:r>
        <w:t xml:space="preserve"> </w:t>
      </w:r>
      <w:r>
        <w:t xml:space="preserve">‘divs’</w:t>
      </w:r>
      <w:r>
        <w:t xml:space="preserve">) were subjected to violence, and sexualised forms of bullying, led by the</w:t>
      </w:r>
      <w:r>
        <w:t xml:space="preserve"> </w:t>
      </w:r>
      <w:r>
        <w:t xml:space="preserve">‘daddies’</w:t>
      </w:r>
      <w:r>
        <w:t xml:space="preserve"> </w:t>
      </w:r>
      <w:r>
        <w:t xml:space="preserve">if they complained or showed signs of distress. Today, this might be called</w:t>
      </w:r>
      <w:r>
        <w:t xml:space="preserve"> </w:t>
      </w:r>
      <w:r>
        <w:t xml:space="preserve">‘peer abuse’</w:t>
      </w:r>
      <w:r>
        <w:t xml:space="preserve">. In 1973, it was done with staff approval. Ericson quotes a discharge report, written by a Senior Officer about one</w:t>
      </w:r>
      <w:r>
        <w:t xml:space="preserve"> </w:t>
      </w:r>
      <w:r>
        <w:t xml:space="preserve">‘div’</w:t>
      </w:r>
      <w:r>
        <w:t xml:space="preserve">.</w:t>
      </w:r>
    </w:p>
    <w:bookmarkEnd w:id="37"/>
    <w:bookmarkStart w:id="38"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w:t>
      </w:r>
      <w:r>
        <w:t xml:space="preserve"> </w:t>
      </w:r>
      <w:r>
        <w:t xml:space="preserve">‘proper men’</w:t>
      </w:r>
      <w:r>
        <w:t xml:space="preserve"> </w:t>
      </w:r>
      <w:r>
        <w:t xml:space="preserve">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38"/>
    <w:bookmarkStart w:id="39"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w:t>
      </w:r>
      <w:r>
        <w:t xml:space="preserve"> </w:t>
      </w:r>
      <w:r>
        <w:t xml:space="preserve">‘good’</w:t>
      </w:r>
      <w:r>
        <w:t xml:space="preserve">.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w:t>
      </w:r>
      <w:r>
        <w:t xml:space="preserve"> </w:t>
      </w:r>
      <w:r>
        <w:t xml:space="preserve">‘bad things happened, but that was then, this is now, and lessons have been learned’</w:t>
      </w:r>
      <w:r>
        <w:t xml:space="preserve"> </w:t>
      </w:r>
      <w:r>
        <w:t xml:space="preserve">– the questions we need to ask are second-order ones, about power and the limits of governance.</w:t>
      </w:r>
    </w:p>
    <w:bookmarkEnd w:id="39"/>
    <w:bookmarkStart w:id="45"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44" w:name="refs"/>
    <w:bookmarkStart w:id="41" w:name="ref-burtonIntroductionArchiveFever2006"/>
    <w:p>
      <w:pPr>
        <w:pStyle w:val="Bibliography"/>
      </w:pPr>
      <w:r>
        <w:t xml:space="preserve">Burton, A. (2006).</w:t>
      </w:r>
      <w:r>
        <w:t xml:space="preserve"> </w:t>
      </w:r>
      <w:hyperlink r:id="rId40">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41"/>
    <w:bookmarkStart w:id="43" w:name="ref-rockDreadfulFloodDocuments2017"/>
    <w:p>
      <w:pPr>
        <w:pStyle w:val="Bibliography"/>
      </w:pPr>
      <w:r>
        <w:t xml:space="preserve">Rock, P. (2017).</w:t>
      </w:r>
      <w:r>
        <w:t xml:space="preserve"> </w:t>
      </w:r>
      <w:hyperlink r:id="rId42">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2025-11-18T10:58:43Z</dcterms:created>
  <dcterms:modified xsi:type="dcterms:W3CDTF">2025-11-18T10:58:43Z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Does the archive offer current practitioners anything, beyond useless knowledge after the fact?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