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운영기준안 / 제정 2026.10.01 / 시행: 대표 승인일</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승인일 = 시행일</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운영기준안은 대표 승인 후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5</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8</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 운영기준안)</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17</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20명·제조 비정규직 5명)가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20명(설계·PLC 프로그램 개발·품질·생산관리 중심) + 제조 비정규직 5명(생산·제조)</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대상, 판넬 LOT → BOM으로 추적)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highlight w:val="yellow"/>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관리(외함·현장 배선), 입고 관리, 판넬 LOT·출하 이력, 일정 관리</w:t>
            </w:r>
            <w:proofErr w:type="spellStart"/>
            <w:proofErr w:type="spellEnd"/>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 확인. 불합격·보류는 식별·격리하여 사용 금지. 부품 LOT는 부여하지 않음</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 / QF-04</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백업한다. 주 1회 백업 성공 여부를 확인하고 월 1회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t>검사 내용: 발주서 대조(모델·정격·수량), 외관·포장, 필요한 성적서·인증서 확인. 부품에는 LOT 번호를 따로 부여하지 않는다.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LOT 번호는 출하 단위인 판넬에만 부여한다. 판넬 LOT는 제조번호(프로젝트번호-순번)와 같으며, 판넬 LOT·출하 이력(QF-04)에 '판넬 LOT → 도면 Rev·작업·시험 기록 → 출하일·납품처'를 기록하여 클레임 시 추적할 수 있게 한다. 부품은 판넬 LOT → BOM(도면 Rev) → 입고 기록(QF-03)으로 거슬러 확인한다.</w:t>
      </w:r>
      <w:proofErr w:type="spellStart"/>
      <w:proofErr w:type="spellEnd"/>
      <w:proofErr w:type="spellStart"/>
      <w:proofErr w:type="spellEnd"/>
      <w:proofErr w:type="spellStart"/>
      <w:proofErr w:type="spellEnd"/>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 곧 판넬 LOT)를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highlight w:val="yellow"/>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highlight w:val="yellow"/>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월 1회 현장 근로자와 협의하여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분기별로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 </w:t>
      </w:r>
      <w:r>
        <w:rPr>
          <w:rFonts w:ascii="Malgun Gothic" w:hAnsi="Malgun Gothic" w:eastAsia="Malgun Gothic"/>
          <w:sz w:val="21"/>
        </w:rPr>
        <w:t xml:space="preserve">3장에 따라 선임(또는 위탁)하고, 6월·12월에 대표가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 xml:space="preserve">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 xml:space="preserve">매년 1월 보호구·교육·건강진단·시설 개선·전기 안전 장비·비상대응 예산을 편성하고, 분기마다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 xml:space="preserve">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분기별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분기별로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 운영기준안)</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LOT 및 출하 이력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 선임 및 직무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20명과 생산·제조 비정규직 5명의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모델·정격·수량·외관·필수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판넬 LOT(제조번호)별로 도면 Rev·작업·FAT·출하일·납품처·변경/AS 이력을 연결한다. 부품 LOT/SN은 따로 기록하지 않으며, 고객이 부품 시리얼 목록을 요구하면 해당 판넬 줄에 첨부 경로를 적는다.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월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분기별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저장장치의 백업을 작업일별 수행하고 주별 성공/실패를 확인, 월별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분기별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 (운영기준안)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