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ADEB LONODJI — relecture de la version arabe (accueil, contact)</w:t>
      </w:r>
    </w:p>
    <w:p>
      <w:r>
        <w:t>Traduction établie le 29 septembre 2026 depuis les pages anglaises du site (lonodji.org/en/index, /en/contact). Merci de corriger la colonne de droite (ou en commentaire) : registre, translittération des noms propres, exactitude. Les noms ADEB LONODJI et ODEB LONODJI restent en caractères latins. Rien ne sera publié avant votre relecture.</w:t>
      </w:r>
    </w:p>
    <w:p>
      <w:pPr>
        <w:pStyle w:val="Heading2"/>
      </w:pPr>
      <w:r>
        <w:t>Page d’accueil</w:t>
      </w:r>
    </w:p>
    <w:tbl>
      <w:tblPr>
        <w:tblStyle w:val="TableGrid"/>
        <w:tblW w:type="auto" w:w="0"/>
        <w:tblLook w:firstColumn="1" w:firstRow="1" w:lastColumn="0" w:lastRow="0" w:noHBand="0" w:noVBand="1" w:val="04A0"/>
      </w:tblPr>
      <w:tblGrid>
        <w:gridCol w:w="5213"/>
        <w:gridCol w:w="5213"/>
      </w:tblGrid>
      <w:tr>
        <w:tc>
          <w:tcPr>
            <w:tcW w:type="dxa" w:w="4876"/>
          </w:tcPr>
          <w:p>
            <w:r>
              <w:t>English (source)</w:t>
            </w:r>
          </w:p>
        </w:tc>
        <w:tc>
          <w:tcPr>
            <w:tcW w:type="dxa" w:w="4876"/>
          </w:tcPr>
          <w:p>
            <w:pPr>
              <w:bidi w:val="1"/>
              <w:jc w:val="right"/>
            </w:pPr>
            <w:r>
              <w:rPr>
                <w:rtl w:val="1"/>
                <w:rFonts w:cs="Arial" w:ascii="Arial" w:hAnsi="Arial"/>
                <w:szCs w:val="24"/>
              </w:rPr>
              <w:t>العربية (à relire)</w:t>
            </w:r>
          </w:p>
        </w:tc>
      </w:tr>
      <w:tr>
        <w:tc>
          <w:tcPr>
            <w:tcW w:type="dxa" w:w="4876"/>
          </w:tcPr>
          <w:p>
            <w:r>
              <w:rPr>
                <w:b/>
              </w:rPr>
              <w:t>Building Bédjondo’s heritage together</w:t>
            </w:r>
          </w:p>
        </w:tc>
        <w:tc>
          <w:tcPr>
            <w:tcW w:type="dxa" w:w="4876"/>
          </w:tcPr>
          <w:p>
            <w:pPr>
              <w:bidi w:val="1"/>
              <w:jc w:val="right"/>
            </w:pPr>
            <w:r>
              <w:rPr>
                <w:b/>
                <w:rtl w:val="1"/>
                <w:rFonts w:cs="Arial" w:ascii="Arial" w:hAnsi="Arial"/>
                <w:szCs w:val="24"/>
              </w:rPr>
              <w:t>نبني معًا تراث بيدجوندو</w:t>
            </w:r>
          </w:p>
        </w:tc>
      </w:tr>
      <w:tr>
        <w:tc>
          <w:tcPr>
            <w:tcW w:type="dxa" w:w="4876"/>
          </w:tcPr>
          <w:p>
            <w:r>
              <w:rPr>
                <w:b w:val="0"/>
              </w:rPr>
              <w:t>ADEB LONODJI is the association of Bédjondo, in southern Chad, and of its diaspora: it works for all the town’s inhabitants and safeguards Bedjond heritage. This English section presents the association, the town and our advocacy; the full site is in French.</w:t>
            </w:r>
          </w:p>
        </w:tc>
        <w:tc>
          <w:tcPr>
            <w:tcW w:type="dxa" w:w="4876"/>
          </w:tcPr>
          <w:p>
            <w:pPr>
              <w:bidi w:val="1"/>
              <w:jc w:val="right"/>
            </w:pPr>
            <w:r>
              <w:rPr>
                <w:b w:val="0"/>
                <w:rtl w:val="1"/>
                <w:rFonts w:cs="Arial" w:ascii="Arial" w:hAnsi="Arial"/>
                <w:szCs w:val="24"/>
              </w:rPr>
              <w:t>ADEB LONODJI هي جمعية بيدجوندو، في جنوب تشاد، وجمعية مهجرها: تعمل من أجل جميع سكان المدينة وتصون تراث شعب بيدجوند. يعرّف هذا القسم بالعربية بالجمعية وبالمدينة وبمرافعاتنا؛ أما الموقع الكامل فهو بالفرنسية.</w:t>
            </w:r>
          </w:p>
        </w:tc>
      </w:tr>
      <w:tr>
        <w:tc>
          <w:tcPr>
            <w:tcW w:type="dxa" w:w="4876"/>
          </w:tcPr>
          <w:p>
            <w:r>
              <w:rPr>
                <w:b/>
              </w:rPr>
              <w:t>The association of Bédjondo and its diaspora</w:t>
            </w:r>
          </w:p>
        </w:tc>
        <w:tc>
          <w:tcPr>
            <w:tcW w:type="dxa" w:w="4876"/>
          </w:tcPr>
          <w:p>
            <w:pPr>
              <w:bidi w:val="1"/>
              <w:jc w:val="right"/>
            </w:pPr>
            <w:r>
              <w:rPr>
                <w:b/>
                <w:rtl w:val="1"/>
                <w:rFonts w:cs="Arial" w:ascii="Arial" w:hAnsi="Arial"/>
                <w:szCs w:val="24"/>
              </w:rPr>
              <w:t>جمعية بيدجوندو ومهجرها</w:t>
            </w:r>
          </w:p>
        </w:tc>
      </w:tr>
      <w:tr>
        <w:tc>
          <w:tcPr>
            <w:tcW w:type="dxa" w:w="4876"/>
          </w:tcPr>
          <w:p>
            <w:r>
              <w:rPr>
                <w:b w:val="0"/>
              </w:rPr>
              <w:t>ADEB LONODJI — Association for the Development and Mutual Aid of Bédjondo — is the organisation that promotes the values, heritage and history of the Bedjond people, whose home is Bédjondo, capital of the Mandoul Occidental department in the Mandoul province of southern Chad. The Bedjond are part of the wider Sara group. The association’s development work serves all the inhabitants of Bédjondo, whatever their origin. Founded through discussions that began in 1986 and officially recognised in 1995, the association held its first forum in Bédjondo in 2000, then a second in Bébopen in 2003, before being relaunched in 2026 with four areas of action, nineteen themes, two cross-cutting units and a public advocacy programme.</w:t>
            </w:r>
          </w:p>
        </w:tc>
        <w:tc>
          <w:tcPr>
            <w:tcW w:type="dxa" w:w="4876"/>
          </w:tcPr>
          <w:p>
            <w:pPr>
              <w:bidi w:val="1"/>
              <w:jc w:val="right"/>
            </w:pPr>
            <w:r>
              <w:rPr>
                <w:b w:val="0"/>
                <w:rtl w:val="1"/>
                <w:rFonts w:cs="Arial" w:ascii="Arial" w:hAnsi="Arial"/>
                <w:szCs w:val="24"/>
              </w:rPr>
              <w:t>ADEB LONODJI — جمعية التنمية والتعاضد في بيدجوندو — هي الهيئة التي تعزّز قيم شعب بيدجوند وتراثه وتاريخه، وموطنه بيدجوندو، عاصمة مقاطعة ماندول الغربي في إقليم ماندول بجنوب تشاد. وشعب بيدجوند جزء من مجموعة سارا الأوسع. ويخدم العمل التنموي للجمعية جميع سكان بيدجوندو أيًّا كان أصلهم. تأسست الجمعية من نقاشات بدأت عام 1986، واعتُرف بها رسميًّا عام 1995، وعقدت منتداها الأول في بيدجوندو عام 2000، ثم الثاني في بيبوبين عام 2003، قبل أن تُستأنف أنشطتها عام 2026 بأربعة أقطاب للعمل وتسعة عشر محورًا وخليتين مشتركتين وبرنامج مرافعة علنية.</w:t>
            </w:r>
          </w:p>
        </w:tc>
      </w:tr>
      <w:tr>
        <w:tc>
          <w:tcPr>
            <w:tcW w:type="dxa" w:w="4876"/>
          </w:tcPr>
          <w:p>
            <w:r>
              <w:rPr>
                <w:b/>
              </w:rPr>
              <w:t>Four areas of action</w:t>
            </w:r>
          </w:p>
        </w:tc>
        <w:tc>
          <w:tcPr>
            <w:tcW w:type="dxa" w:w="4876"/>
          </w:tcPr>
          <w:p>
            <w:pPr>
              <w:bidi w:val="1"/>
              <w:jc w:val="right"/>
            </w:pPr>
            <w:r>
              <w:rPr>
                <w:b/>
                <w:rtl w:val="1"/>
                <w:rFonts w:cs="Arial" w:ascii="Arial" w:hAnsi="Arial"/>
                <w:szCs w:val="24"/>
              </w:rPr>
              <w:t>أربعة أقطاب للعمل</w:t>
            </w:r>
          </w:p>
        </w:tc>
      </w:tr>
      <w:tr>
        <w:tc>
          <w:tcPr>
            <w:tcW w:type="dxa" w:w="4876"/>
          </w:tcPr>
          <w:p>
            <w:r>
              <w:rPr>
                <w:b/>
              </w:rPr>
              <w:t>I — Memory, Culture &amp; Heritage</w:t>
            </w:r>
          </w:p>
        </w:tc>
        <w:tc>
          <w:tcPr>
            <w:tcW w:type="dxa" w:w="4876"/>
          </w:tcPr>
          <w:p>
            <w:pPr>
              <w:bidi w:val="1"/>
              <w:jc w:val="right"/>
            </w:pPr>
            <w:r>
              <w:rPr>
                <w:b/>
                <w:rtl w:val="1"/>
                <w:rFonts w:cs="Arial" w:ascii="Arial" w:hAnsi="Arial"/>
                <w:szCs w:val="24"/>
              </w:rPr>
              <w:t>الأول — الذاكرة والثقافة والتراث</w:t>
            </w:r>
          </w:p>
        </w:tc>
      </w:tr>
      <w:tr>
        <w:tc>
          <w:tcPr>
            <w:tcW w:type="dxa" w:w="4876"/>
          </w:tcPr>
          <w:p>
            <w:r>
              <w:rPr>
                <w:b w:val="0"/>
              </w:rPr>
              <w:t>Memory and heritage, living culture, knowledge and innovation: documenting oral tradition, the Bedjond language, the Kul iron currency, and building a Bedjond and Sara library.</w:t>
            </w:r>
          </w:p>
        </w:tc>
        <w:tc>
          <w:tcPr>
            <w:tcW w:type="dxa" w:w="4876"/>
          </w:tcPr>
          <w:p>
            <w:pPr>
              <w:bidi w:val="1"/>
              <w:jc w:val="right"/>
            </w:pPr>
            <w:r>
              <w:rPr>
                <w:b w:val="0"/>
                <w:rtl w:val="1"/>
                <w:rFonts w:cs="Arial" w:ascii="Arial" w:hAnsi="Arial"/>
                <w:szCs w:val="24"/>
              </w:rPr>
              <w:t>الذاكرة والتراث، والثقافة الحية، والمعرفة والابتكار: توثيق التقاليد الشفوية ولغة بيدجوند وعملة «كول» الحديدية، وبناء مكتبة لبيدجوند وسارا.</w:t>
            </w:r>
          </w:p>
        </w:tc>
      </w:tr>
      <w:tr>
        <w:tc>
          <w:tcPr>
            <w:tcW w:type="dxa" w:w="4876"/>
          </w:tcPr>
          <w:p>
            <w:r>
              <w:rPr>
                <w:b/>
              </w:rPr>
              <w:t>II — Human Development &amp; Livelihoods</w:t>
            </w:r>
          </w:p>
        </w:tc>
        <w:tc>
          <w:tcPr>
            <w:tcW w:type="dxa" w:w="4876"/>
          </w:tcPr>
          <w:p>
            <w:pPr>
              <w:bidi w:val="1"/>
              <w:jc w:val="right"/>
            </w:pPr>
            <w:r>
              <w:rPr>
                <w:b/>
                <w:rtl w:val="1"/>
                <w:rFonts w:cs="Arial" w:ascii="Arial" w:hAnsi="Arial"/>
                <w:szCs w:val="24"/>
              </w:rPr>
              <w:t>الثاني — التنمية البشرية وسبل العيش</w:t>
            </w:r>
          </w:p>
        </w:tc>
      </w:tr>
      <w:tr>
        <w:tc>
          <w:tcPr>
            <w:tcW w:type="dxa" w:w="4876"/>
          </w:tcPr>
          <w:p>
            <w:r>
              <w:rPr>
                <w:b w:val="0"/>
              </w:rPr>
              <w:t>Agriculture and food security, inclusive finance, environment, water, energy and connectivity, roads and urban planning, youth, women’s leadership, health, solidarity.</w:t>
            </w:r>
          </w:p>
        </w:tc>
        <w:tc>
          <w:tcPr>
            <w:tcW w:type="dxa" w:w="4876"/>
          </w:tcPr>
          <w:p>
            <w:pPr>
              <w:bidi w:val="1"/>
              <w:jc w:val="right"/>
            </w:pPr>
            <w:r>
              <w:rPr>
                <w:b w:val="0"/>
                <w:rtl w:val="1"/>
                <w:rFonts w:cs="Arial" w:ascii="Arial" w:hAnsi="Arial"/>
                <w:szCs w:val="24"/>
              </w:rPr>
              <w:t>الزراعة والأمن الغذائي، والتمويل الشامل، والبيئة، والماء والطاقة والاتصال، والطرق والتخطيط العمراني، والشباب، وقيادة المرأة، والصحة، والتضامن.</w:t>
            </w:r>
          </w:p>
        </w:tc>
      </w:tr>
      <w:tr>
        <w:tc>
          <w:tcPr>
            <w:tcW w:type="dxa" w:w="4876"/>
          </w:tcPr>
          <w:p>
            <w:r>
              <w:rPr>
                <w:b/>
              </w:rPr>
              <w:t>III — Governance, Peace &amp; Advocacy</w:t>
            </w:r>
          </w:p>
        </w:tc>
        <w:tc>
          <w:tcPr>
            <w:tcW w:type="dxa" w:w="4876"/>
          </w:tcPr>
          <w:p>
            <w:pPr>
              <w:bidi w:val="1"/>
              <w:jc w:val="right"/>
            </w:pPr>
            <w:r>
              <w:rPr>
                <w:b/>
                <w:rtl w:val="1"/>
                <w:rFonts w:cs="Arial" w:ascii="Arial" w:hAnsi="Arial"/>
                <w:szCs w:val="24"/>
              </w:rPr>
              <w:t>الثالث — الحوكمة والسلام والمرافعة</w:t>
            </w:r>
          </w:p>
        </w:tc>
      </w:tr>
      <w:tr>
        <w:tc>
          <w:tcPr>
            <w:tcW w:type="dxa" w:w="4876"/>
          </w:tcPr>
          <w:p>
            <w:r>
              <w:rPr>
                <w:b w:val="0"/>
              </w:rPr>
              <w:t>Governance and advocacy, peace and cohesion, the network of experts and the diaspora.</w:t>
            </w:r>
          </w:p>
        </w:tc>
        <w:tc>
          <w:tcPr>
            <w:tcW w:type="dxa" w:w="4876"/>
          </w:tcPr>
          <w:p>
            <w:pPr>
              <w:bidi w:val="1"/>
              <w:jc w:val="right"/>
            </w:pPr>
            <w:r>
              <w:rPr>
                <w:b w:val="0"/>
                <w:rtl w:val="1"/>
                <w:rFonts w:cs="Arial" w:ascii="Arial" w:hAnsi="Arial"/>
                <w:szCs w:val="24"/>
              </w:rPr>
              <w:t>الحوكمة والمرافعة، والسلام والتماسك، وشبكة الخبراء والمهجر.</w:t>
            </w:r>
          </w:p>
        </w:tc>
      </w:tr>
      <w:tr>
        <w:tc>
          <w:tcPr>
            <w:tcW w:type="dxa" w:w="4876"/>
          </w:tcPr>
          <w:p>
            <w:r>
              <w:rPr>
                <w:b/>
              </w:rPr>
              <w:t>IV — Digital &amp; Innovation</w:t>
            </w:r>
          </w:p>
        </w:tc>
        <w:tc>
          <w:tcPr>
            <w:tcW w:type="dxa" w:w="4876"/>
          </w:tcPr>
          <w:p>
            <w:pPr>
              <w:bidi w:val="1"/>
              <w:jc w:val="right"/>
            </w:pPr>
            <w:r>
              <w:rPr>
                <w:b/>
                <w:rtl w:val="1"/>
                <w:rFonts w:cs="Arial" w:ascii="Arial" w:hAnsi="Arial"/>
                <w:szCs w:val="24"/>
              </w:rPr>
              <w:t>الرابع — الرقمنة والابتكار</w:t>
            </w:r>
          </w:p>
        </w:tc>
      </w:tr>
      <w:tr>
        <w:tc>
          <w:tcPr>
            <w:tcW w:type="dxa" w:w="4876"/>
          </w:tcPr>
          <w:p>
            <w:r>
              <w:rPr>
                <w:b w:val="0"/>
              </w:rPr>
              <w:t>Digital transformation and services, artificial intelligence and data, digital skills and entrepreneurship.</w:t>
            </w:r>
          </w:p>
        </w:tc>
        <w:tc>
          <w:tcPr>
            <w:tcW w:type="dxa" w:w="4876"/>
          </w:tcPr>
          <w:p>
            <w:pPr>
              <w:bidi w:val="1"/>
              <w:jc w:val="right"/>
            </w:pPr>
            <w:r>
              <w:rPr>
                <w:b w:val="0"/>
                <w:rtl w:val="1"/>
                <w:rFonts w:cs="Arial" w:ascii="Arial" w:hAnsi="Arial"/>
                <w:szCs w:val="24"/>
              </w:rPr>
              <w:t>التحول الرقمي والخدمات، والذكاء الاصطناعي والبيانات، والمهارات الرقمية وريادة الأعمال.</w:t>
            </w:r>
          </w:p>
        </w:tc>
      </w:tr>
      <w:tr>
        <w:tc>
          <w:tcPr>
            <w:tcW w:type="dxa" w:w="4876"/>
          </w:tcPr>
          <w:p>
            <w:r>
              <w:rPr>
                <w:b/>
              </w:rPr>
              <w:t>A town of probably over 15,000 without the infrastructure of a town</w:t>
            </w:r>
          </w:p>
        </w:tc>
        <w:tc>
          <w:tcPr>
            <w:tcW w:type="dxa" w:w="4876"/>
          </w:tcPr>
          <w:p>
            <w:pPr>
              <w:bidi w:val="1"/>
              <w:jc w:val="right"/>
            </w:pPr>
            <w:r>
              <w:rPr>
                <w:b/>
                <w:rtl w:val="1"/>
                <w:rFonts w:cs="Arial" w:ascii="Arial" w:hAnsi="Arial"/>
                <w:szCs w:val="24"/>
              </w:rPr>
              <w:t>مدينة يُرجَّح أن يتجاوز سكانها 15,000 نسمة من دون بنية مدينة</w:t>
            </w:r>
          </w:p>
        </w:tc>
      </w:tr>
      <w:tr>
        <w:tc>
          <w:tcPr>
            <w:tcW w:type="dxa" w:w="4876"/>
          </w:tcPr>
          <w:p>
            <w:r>
              <w:rPr>
                <w:b w:val="0"/>
              </w:rPr>
              <w:t>Bédjondo grew from 4,344 inhabitants (1993 census) to 11,086 (2009) and very probably exceeds 15,000 today. It has a mayor and a council, but no reliable electricity, no piped water, no broadband, a road cut off in the rainy season, a health centre without a laboratory and overcrowded schools. We have published eight advocacy briefs, each with a sourced diagnosis, specific requests to named recipients, and our own commitments.</w:t>
            </w:r>
          </w:p>
        </w:tc>
        <w:tc>
          <w:tcPr>
            <w:tcW w:type="dxa" w:w="4876"/>
          </w:tcPr>
          <w:p>
            <w:pPr>
              <w:bidi w:val="1"/>
              <w:jc w:val="right"/>
            </w:pPr>
            <w:r>
              <w:rPr>
                <w:b w:val="0"/>
                <w:rtl w:val="1"/>
                <w:rFonts w:cs="Arial" w:ascii="Arial" w:hAnsi="Arial"/>
                <w:szCs w:val="24"/>
              </w:rPr>
              <w:t>نما عدد سكان بيدجوندو من 4,344 نسمة (إحصاء 1993) إلى 11,086 نسمة (2009)، ويُرجَّح جدًّا أنه يتجاوز اليوم 15,000 نسمة. للمدينة عمدة ومجلس بلدي، لكن لا كهرباء موثوقة فيها، ولا مياه بالأنابيب، ولا إنترنت عالي السرعة، وطريقها ينقطع في موسم الأمطار، ومركزها الصحي بلا مختبر، ومدارسها مكتظة. نشرنا ثماني مذكرات مرافعة، لكل منها تشخيص موثّق المصادر، وطلبات محددة موجهة إلى جهات مسماة، والتزاماتنا نحن.</w:t>
            </w:r>
          </w:p>
        </w:tc>
      </w:tr>
      <w:tr>
        <w:tc>
          <w:tcPr>
            <w:tcW w:type="dxa" w:w="4876"/>
          </w:tcPr>
          <w:p>
            <w:r>
              <w:rPr>
                <w:b/>
              </w:rPr>
              <w:t>The ODEB LONODJI project</w:t>
            </w:r>
          </w:p>
        </w:tc>
        <w:tc>
          <w:tcPr>
            <w:tcW w:type="dxa" w:w="4876"/>
          </w:tcPr>
          <w:p>
            <w:pPr>
              <w:bidi w:val="1"/>
              <w:jc w:val="right"/>
            </w:pPr>
            <w:r>
              <w:rPr>
                <w:b/>
                <w:rtl w:val="1"/>
                <w:rFonts w:cs="Arial" w:ascii="Arial" w:hAnsi="Arial"/>
                <w:szCs w:val="24"/>
              </w:rPr>
              <w:t>مشروع ODEB LONODJI</w:t>
            </w:r>
          </w:p>
        </w:tc>
      </w:tr>
      <w:tr>
        <w:tc>
          <w:tcPr>
            <w:tcW w:type="dxa" w:w="4876"/>
          </w:tcPr>
          <w:p>
            <w:r>
              <w:rPr>
                <w:b/>
              </w:rPr>
              <w:t>Join, give, share your skills, spread the word</w:t>
            </w:r>
          </w:p>
        </w:tc>
        <w:tc>
          <w:tcPr>
            <w:tcW w:type="dxa" w:w="4876"/>
          </w:tcPr>
          <w:p>
            <w:pPr>
              <w:bidi w:val="1"/>
              <w:jc w:val="right"/>
            </w:pPr>
            <w:r>
              <w:rPr>
                <w:b w:val="0"/>
                <w:rtl w:val="1"/>
                <w:rFonts w:cs="Arial" w:ascii="Arial" w:hAnsi="Arial"/>
                <w:szCs w:val="24"/>
              </w:rPr>
              <w:t>في 28 سبتمبر 2026، بعد أربعين عامًا على تأملاتها التأسيسية عام 1986، أطلقت الجمعية تفكير ODEB LONODJI: مشروع يهدف إلى منح بلاد بيدجوند منظمة دائمة للبحث والتوثيق والتنمية الإقليمية والابتكار والتراث وتعبئة المهجر بحلول عام 2030. ست مهمات، وستة برامج، وخريطة طريق، وكتاب أبيض (مسودة عمل بالفرنسية).</w:t>
            </w:r>
          </w:p>
        </w:tc>
      </w:tr>
      <w:tr>
        <w:tc>
          <w:tcPr>
            <w:tcW w:type="dxa" w:w="4876"/>
          </w:tcPr>
          <w:p>
            <w:r>
              <w:rPr>
                <w:b w:val="0"/>
              </w:rPr>
              <w:t>Members of the diaspora and friends of Bédjondo can join the association, coordinate one of the themes still open (see the list on the themes page), lead one of the four poles (a project-manager role, all four open since 28 September 2026), contribute to the first concrete projects (a community digital space powered by satellite and solar energy; solar lighting for the market), offer professional skills — planners, engineers, doctors, teachers, IT specialists — or simply relay our advocacy. The association does not collect dues or donations for now: it will do so only once its authorisation is confirmed and an account is open in its name, so please send no money to anyone on its behalf. Write to us and we will get back to you.</w:t>
            </w:r>
          </w:p>
        </w:tc>
        <w:tc>
          <w:tcPr>
            <w:tcW w:type="dxa" w:w="4876"/>
          </w:tcPr>
          <w:p>
            <w:pPr>
              <w:bidi w:val="1"/>
              <w:jc w:val="right"/>
            </w:pPr>
            <w:r>
              <w:rPr>
                <w:b/>
                <w:rtl w:val="1"/>
                <w:rFonts w:cs="Arial" w:ascii="Arial" w:hAnsi="Arial"/>
                <w:szCs w:val="24"/>
              </w:rPr>
              <w:t>انضموا، وساهموا بمهاراتكم، وانشروا الكلمة</w:t>
            </w:r>
          </w:p>
        </w:tc>
      </w:tr>
      <w:tr>
        <w:tc>
          <w:tcPr>
            <w:tcW w:type="dxa" w:w="4876"/>
          </w:tcPr>
          <w:p>
            <w:r>
              <w:rPr>
                <w:b w:val="0"/>
              </w:rPr>
              <w:t>Also in English: find your village (fourteen units, 966 localities), the projects and their stage , the impact dashboard and the ODEB project . The full site, the journal, the research base and all PDFs are in French: visit the French site .</w:t>
            </w:r>
          </w:p>
        </w:tc>
        <w:tc>
          <w:tcPr>
            <w:tcW w:type="dxa" w:w="4876"/>
          </w:tcPr>
          <w:p>
            <w:pPr>
              <w:bidi w:val="1"/>
              <w:jc w:val="right"/>
            </w:pPr>
            <w:r>
              <w:rPr>
                <w:b w:val="0"/>
                <w:rtl w:val="1"/>
                <w:rFonts w:cs="Arial" w:ascii="Arial" w:hAnsi="Arial"/>
                <w:szCs w:val="24"/>
              </w:rPr>
              <w:t>يستطيع أبناء المهجر وأصدقاء بيدجوندو الانضمام إلى الجمعية، وتنسيق أحد المحاور التي ما زالت شاغرة (انظر القائمة في صفحة المحاور)، وقيادة أحد الأقطاب الأربعة (وظيفة برتبة مدير مشروع، والأربعة مفتوحة منذ 28 سبتمبر 2026)، والمساهمة في المشاريع الملموسة الأولى (فضاء رقمي مجتمعي يعمل بالقمر الاصطناعي والطاقة الشمسية؛ إنارة شمسية للسوق)، وتقديم مهارات مهنية — مخططون ومهندسون وأطباء ومعلمون ومختصون في المعلوماتية — أو ببساطة نقل مرافعاتنا. لا تجمع الجمعية اشتراكات ولا تبرعات في الوقت الحاضر: لن تفعل ذلك إلا بعد تأكيد ترخيصها وفتح حساب باسمها؛ فنرجو ألا ترسلوا أي مال إلى أي شخص باسمها. اكتبوا إلينا وسنردّ عليكم.</w:t>
            </w:r>
          </w:p>
        </w:tc>
      </w:tr>
      <w:tr>
        <w:tc>
          <w:tcPr>
            <w:tcW w:type="dxa" w:w="4876"/>
          </w:tcPr>
          <w:p/>
        </w:tc>
        <w:tc>
          <w:tcPr>
            <w:tcW w:type="dxa" w:w="4876"/>
          </w:tcPr>
          <w:p>
            <w:pPr>
              <w:bidi w:val="1"/>
              <w:jc w:val="right"/>
            </w:pPr>
            <w:r>
              <w:rPr>
                <w:b w:val="0"/>
                <w:rtl w:val="1"/>
                <w:rFonts w:cs="Arial" w:ascii="Arial" w:hAnsi="Arial"/>
                <w:szCs w:val="24"/>
              </w:rPr>
              <w:t>أيضًا بالإنجليزية: ابحث عن قريتك (أربع عشرة وحدة، 966 بلدة)، والمشاريع ومراحلها، ولوحة متابعة الأثر، ومشروع ODEB. الموقع الكامل والجريدة وقاعدة البحث وجميع ملفات PDF بالفرنسية: زوروا الموقع الفرنسي.</w:t>
            </w:r>
          </w:p>
        </w:tc>
      </w:tr>
    </w:tbl>
    <w:p/>
    <w:p>
      <w:pPr>
        <w:pStyle w:val="Heading2"/>
      </w:pPr>
      <w:r>
        <w:t>Page de contact</w:t>
      </w:r>
    </w:p>
    <w:tbl>
      <w:tblPr>
        <w:tblStyle w:val="TableGrid"/>
        <w:tblW w:type="auto" w:w="0"/>
        <w:tblLook w:firstColumn="1" w:firstRow="1" w:lastColumn="0" w:lastRow="0" w:noHBand="0" w:noVBand="1" w:val="04A0"/>
      </w:tblPr>
      <w:tblGrid>
        <w:gridCol w:w="5213"/>
        <w:gridCol w:w="5213"/>
      </w:tblGrid>
      <w:tr>
        <w:tc>
          <w:tcPr>
            <w:tcW w:type="dxa" w:w="4876"/>
          </w:tcPr>
          <w:p>
            <w:r>
              <w:t>English (source)</w:t>
            </w:r>
          </w:p>
        </w:tc>
        <w:tc>
          <w:tcPr>
            <w:tcW w:type="dxa" w:w="4876"/>
          </w:tcPr>
          <w:p>
            <w:pPr>
              <w:bidi w:val="1"/>
              <w:jc w:val="right"/>
            </w:pPr>
            <w:r>
              <w:rPr>
                <w:rtl w:val="1"/>
                <w:rFonts w:cs="Arial" w:ascii="Arial" w:hAnsi="Arial"/>
                <w:szCs w:val="24"/>
              </w:rPr>
              <w:t>العربية (à relire)</w:t>
            </w:r>
          </w:p>
        </w:tc>
      </w:tr>
      <w:tr>
        <w:tc>
          <w:tcPr>
            <w:tcW w:type="dxa" w:w="4876"/>
          </w:tcPr>
          <w:p>
            <w:r>
              <w:rPr>
                <w:b/>
              </w:rPr>
              <w:t>Get in touch</w:t>
            </w:r>
          </w:p>
        </w:tc>
        <w:tc>
          <w:tcPr>
            <w:tcW w:type="dxa" w:w="4876"/>
          </w:tcPr>
          <w:p>
            <w:pPr>
              <w:bidi w:val="1"/>
              <w:jc w:val="right"/>
            </w:pPr>
            <w:r>
              <w:rPr>
                <w:b/>
                <w:rtl w:val="1"/>
                <w:rFonts w:cs="Arial" w:ascii="Arial" w:hAnsi="Arial"/>
                <w:szCs w:val="24"/>
              </w:rPr>
              <w:t>تواصلوا معنا</w:t>
            </w:r>
          </w:p>
        </w:tc>
      </w:tr>
      <w:tr>
        <w:tc>
          <w:tcPr>
            <w:tcW w:type="dxa" w:w="4876"/>
          </w:tcPr>
          <w:p>
            <w:r>
              <w:rPr>
                <w:b w:val="0"/>
              </w:rPr>
              <w:t>Write to the association in English or French; we answer every message.</w:t>
            </w:r>
          </w:p>
        </w:tc>
        <w:tc>
          <w:tcPr>
            <w:tcW w:type="dxa" w:w="4876"/>
          </w:tcPr>
          <w:p>
            <w:pPr>
              <w:bidi w:val="1"/>
              <w:jc w:val="right"/>
            </w:pPr>
            <w:r>
              <w:rPr>
                <w:b w:val="0"/>
                <w:rtl w:val="1"/>
                <w:rFonts w:cs="Arial" w:ascii="Arial" w:hAnsi="Arial"/>
                <w:szCs w:val="24"/>
              </w:rPr>
              <w:t>اكتبوا إلى الجمعية بالعربية أو بالفرنسية؛ نردّ على كل رسالة.</w:t>
            </w:r>
          </w:p>
        </w:tc>
      </w:tr>
      <w:tr>
        <w:tc>
          <w:tcPr>
            <w:tcW w:type="dxa" w:w="4876"/>
          </w:tcPr>
          <w:p>
            <w:r>
              <w:rPr>
                <w:b/>
              </w:rPr>
              <w:t>Partners, researchers, media, diaspora</w:t>
            </w:r>
          </w:p>
        </w:tc>
        <w:tc>
          <w:tcPr>
            <w:tcW w:type="dxa" w:w="4876"/>
          </w:tcPr>
          <w:p>
            <w:pPr>
              <w:bidi w:val="1"/>
              <w:jc w:val="right"/>
            </w:pPr>
            <w:r>
              <w:rPr>
                <w:b/>
                <w:rtl w:val="1"/>
                <w:rFonts w:cs="Arial" w:ascii="Arial" w:hAnsi="Arial"/>
                <w:szCs w:val="24"/>
              </w:rPr>
              <w:t>الشركاء والباحثون والإعلام والمهجر</w:t>
            </w:r>
          </w:p>
        </w:tc>
      </w:tr>
      <w:tr>
        <w:tc>
          <w:tcPr>
            <w:tcW w:type="dxa" w:w="4876"/>
          </w:tcPr>
          <w:p>
            <w:r>
              <w:rPr>
                <w:b w:val="0"/>
              </w:rPr>
              <w:t>Use this form to reach the association’s facilitation team in English or French. We answer every message. Institutions and development partners who wish to respond to an advocacy brief, journalists, researchers working on the Sara peoples, and members of the diaspora who want to join or contribute are all welcome.</w:t>
            </w:r>
          </w:p>
        </w:tc>
        <w:tc>
          <w:tcPr>
            <w:tcW w:type="dxa" w:w="4876"/>
          </w:tcPr>
          <w:p>
            <w:pPr>
              <w:bidi w:val="1"/>
              <w:jc w:val="right"/>
            </w:pPr>
            <w:r>
              <w:rPr>
                <w:b w:val="0"/>
                <w:rtl w:val="1"/>
                <w:rFonts w:cs="Arial" w:ascii="Arial" w:hAnsi="Arial"/>
                <w:szCs w:val="24"/>
              </w:rPr>
              <w:t>استخدموا هذه الاستمارة للوصول إلى فريق تنشيط الجمعية بالعربية أو بالفرنسية. نردّ على كل رسالة. نرحّب بالمؤسسات وشركاء التنمية الراغبين في الرد على مذكرة مرافعة، وبالصحفيين، وبالباحثين في شؤون شعوب سارا، وبأبناء المهجر الراغبين في الانضمام أو المساهمة.</w:t>
            </w:r>
          </w:p>
        </w:tc>
      </w:tr>
      <w:tr>
        <w:tc>
          <w:tcPr>
            <w:tcW w:type="dxa" w:w="4876"/>
          </w:tcPr>
          <w:p>
            <w:r>
              <w:rPr>
                <w:b w:val="0"/>
              </w:rPr>
              <w:t>Facilitator: Bignéro Moïalbéi LE MADANG. Official contact number: +235 66 29 94 03 (Adoumbé Maoura, president), also on WhatsApp . E-mail addresses will be published here once the association’s domain name is registered; until then, this form and WhatsApp are the reliable ways to reach us. The association does not collect dues or donations for now: it will do so only once its authorisation is confirmed and an account is open in its name, so please send no money to anyone on its behalf. Social media accounts will be published as soon as they are opened.</w:t>
            </w:r>
          </w:p>
        </w:tc>
        <w:tc>
          <w:tcPr>
            <w:tcW w:type="dxa" w:w="4876"/>
          </w:tcPr>
          <w:p>
            <w:pPr>
              <w:bidi w:val="1"/>
              <w:jc w:val="right"/>
            </w:pPr>
            <w:r>
              <w:rPr>
                <w:b w:val="0"/>
                <w:rtl w:val="1"/>
                <w:rFonts w:cs="Arial" w:ascii="Arial" w:hAnsi="Arial"/>
                <w:szCs w:val="24"/>
              </w:rPr>
              <w:t>المنشّط: بينيرو مويالبيي لو مادانغ (Bignéro Moïalbéi LE MADANG). رقم الاتصال الرسمي: ‎+235 66 29 94 03 (أدومبي ماورا، الرئيس)، وهو متاح أيضًا على واتساب. ستُنشر عناوين البريد الإلكتروني هنا بعد تسجيل اسم نطاق الجمعية؛ وحتى ذلك الحين، تبقى هذه الاستمارة وواتساب الوسيلتين الموثوقتين للوصول إلينا. لا تجمع الجمعية اشتراكات ولا تبرعات في الوقت الحاضر: لن تفعل ذلك إلا بعد تأكيد ترخيصها وفتح حساب باسمها؛ فنرجو ألا ترسلوا أي مال إلى أي شخص باسمها. ستُنشر حسابات الشبكات الاجتماعية فور فتحها.</w:t>
            </w:r>
          </w:p>
        </w:tc>
      </w:tr>
    </w:tbl>
    <w:p/>
    <w:p>
      <w:pPr>
        <w:pStyle w:val="Heading2"/>
      </w:pPr>
      <w:r>
        <w:t>Libellés du formulaire de contact</w:t>
      </w:r>
    </w:p>
    <w:tbl>
      <w:tblPr>
        <w:tblStyle w:val="TableGrid"/>
        <w:tblW w:type="auto" w:w="0"/>
        <w:tblLook w:firstColumn="1" w:firstRow="1" w:lastColumn="0" w:lastRow="0" w:noHBand="0" w:noVBand="1" w:val="04A0"/>
      </w:tblPr>
      <w:tblGrid>
        <w:gridCol w:w="5213"/>
        <w:gridCol w:w="5213"/>
      </w:tblGrid>
      <w:tr>
        <w:tc>
          <w:tcPr>
            <w:tcW w:type="dxa" w:w="5213"/>
          </w:tcPr>
          <w:p>
            <w:r>
              <w:t>English</w:t>
            </w:r>
          </w:p>
        </w:tc>
        <w:tc>
          <w:tcPr>
            <w:tcW w:type="dxa" w:w="5213"/>
          </w:tcPr>
          <w:p>
            <w:pPr>
              <w:bidi w:val="1"/>
              <w:jc w:val="right"/>
            </w:pPr>
            <w:r>
              <w:rPr>
                <w:rtl w:val="1"/>
                <w:rFonts w:cs="Arial" w:ascii="Arial" w:hAnsi="Arial"/>
                <w:szCs w:val="24"/>
              </w:rPr>
              <w:t>العربية</w:t>
            </w:r>
          </w:p>
        </w:tc>
      </w:tr>
      <w:tr>
        <w:tc>
          <w:tcPr>
            <w:tcW w:type="dxa" w:w="5213"/>
          </w:tcPr>
          <w:p>
            <w:r>
              <w:t>Full name</w:t>
            </w:r>
          </w:p>
        </w:tc>
        <w:tc>
          <w:tcPr>
            <w:tcW w:type="dxa" w:w="5213"/>
          </w:tcPr>
          <w:p>
            <w:pPr>
              <w:bidi w:val="1"/>
              <w:jc w:val="right"/>
            </w:pPr>
            <w:r>
              <w:rPr>
                <w:rtl w:val="1"/>
                <w:rFonts w:cs="Arial" w:ascii="Arial" w:hAnsi="Arial"/>
                <w:szCs w:val="24"/>
              </w:rPr>
              <w:t>الاسم الكامل</w:t>
            </w:r>
          </w:p>
        </w:tc>
      </w:tr>
      <w:tr>
        <w:tc>
          <w:tcPr>
            <w:tcW w:type="dxa" w:w="5213"/>
          </w:tcPr>
          <w:p>
            <w:r>
              <w:t>Organisation (optional)</w:t>
            </w:r>
          </w:p>
        </w:tc>
        <w:tc>
          <w:tcPr>
            <w:tcW w:type="dxa" w:w="5213"/>
          </w:tcPr>
          <w:p>
            <w:pPr>
              <w:bidi w:val="1"/>
              <w:jc w:val="right"/>
            </w:pPr>
            <w:r>
              <w:rPr>
                <w:rtl w:val="1"/>
                <w:rFonts w:cs="Arial" w:ascii="Arial" w:hAnsi="Arial"/>
                <w:szCs w:val="24"/>
              </w:rPr>
              <w:t>المؤسسة (اختياري)</w:t>
            </w:r>
          </w:p>
        </w:tc>
      </w:tr>
      <w:tr>
        <w:tc>
          <w:tcPr>
            <w:tcW w:type="dxa" w:w="5213"/>
          </w:tcPr>
          <w:p>
            <w:r>
              <w:t>E-mail</w:t>
            </w:r>
          </w:p>
        </w:tc>
        <w:tc>
          <w:tcPr>
            <w:tcW w:type="dxa" w:w="5213"/>
          </w:tcPr>
          <w:p>
            <w:pPr>
              <w:bidi w:val="1"/>
              <w:jc w:val="right"/>
            </w:pPr>
            <w:r>
              <w:rPr>
                <w:rtl w:val="1"/>
                <w:rFonts w:cs="Arial" w:ascii="Arial" w:hAnsi="Arial"/>
                <w:szCs w:val="24"/>
              </w:rPr>
              <w:t>البريد الإلكتروني</w:t>
            </w:r>
          </w:p>
        </w:tc>
      </w:tr>
      <w:tr>
        <w:tc>
          <w:tcPr>
            <w:tcW w:type="dxa" w:w="5213"/>
          </w:tcPr>
          <w:p>
            <w:r>
              <w:t>Subject — Choose / Reply to an advocacy brief / Partnership / funding / Research / media / Join the association / Other</w:t>
            </w:r>
          </w:p>
        </w:tc>
        <w:tc>
          <w:tcPr>
            <w:tcW w:type="dxa" w:w="5213"/>
          </w:tcPr>
          <w:p>
            <w:pPr>
              <w:bidi w:val="1"/>
              <w:jc w:val="right"/>
            </w:pPr>
            <w:r>
              <w:rPr>
                <w:rtl w:val="1"/>
                <w:rFonts w:cs="Arial" w:ascii="Arial" w:hAnsi="Arial"/>
                <w:szCs w:val="24"/>
              </w:rPr>
              <w:t>الموضوع — اختر / الرد على مذكرة مرافعة / شراكة / تمويل / بحث / إعلام / الانضمام إلى الجمعية / أخرى</w:t>
            </w:r>
          </w:p>
        </w:tc>
      </w:tr>
      <w:tr>
        <w:tc>
          <w:tcPr>
            <w:tcW w:type="dxa" w:w="5213"/>
          </w:tcPr>
          <w:p>
            <w:r>
              <w:t>Message</w:t>
            </w:r>
          </w:p>
        </w:tc>
        <w:tc>
          <w:tcPr>
            <w:tcW w:type="dxa" w:w="5213"/>
          </w:tcPr>
          <w:p>
            <w:pPr>
              <w:bidi w:val="1"/>
              <w:jc w:val="right"/>
            </w:pPr>
            <w:r>
              <w:rPr>
                <w:rtl w:val="1"/>
                <w:rFonts w:cs="Arial" w:ascii="Arial" w:hAnsi="Arial"/>
                <w:szCs w:val="24"/>
              </w:rPr>
              <w:t>الرسالة</w:t>
            </w:r>
          </w:p>
        </w:tc>
      </w:tr>
      <w:tr>
        <w:tc>
          <w:tcPr>
            <w:tcW w:type="dxa" w:w="5213"/>
          </w:tcPr>
          <w:p>
            <w:r>
              <w:t>I agree that ADEB LONODJI keeps this information to follow up on my message, with its host in the United States (Netlify).</w:t>
            </w:r>
          </w:p>
        </w:tc>
        <w:tc>
          <w:tcPr>
            <w:tcW w:type="dxa" w:w="5213"/>
          </w:tcPr>
          <w:p>
            <w:pPr>
              <w:bidi w:val="1"/>
              <w:jc w:val="right"/>
            </w:pPr>
            <w:r>
              <w:rPr>
                <w:rtl w:val="1"/>
                <w:rFonts w:cs="Arial" w:ascii="Arial" w:hAnsi="Arial"/>
                <w:szCs w:val="24"/>
              </w:rPr>
              <w:t>أوافق على أن تحتفظ ADEB LONODJI بهذه المعلومات لمتابعة رسالتي، لدى مستضيفها في الولايات المتحدة (Netlify).</w:t>
            </w:r>
          </w:p>
        </w:tc>
      </w:tr>
      <w:tr>
        <w:tc>
          <w:tcPr>
            <w:tcW w:type="dxa" w:w="5213"/>
          </w:tcPr>
          <w:p>
            <w:r>
              <w:t>Send</w:t>
            </w:r>
          </w:p>
        </w:tc>
        <w:tc>
          <w:tcPr>
            <w:tcW w:type="dxa" w:w="5213"/>
          </w:tcPr>
          <w:p>
            <w:pPr>
              <w:bidi w:val="1"/>
              <w:jc w:val="right"/>
            </w:pPr>
            <w:r>
              <w:rPr>
                <w:rtl w:val="1"/>
                <w:rFonts w:cs="Arial" w:ascii="Arial" w:hAnsi="Arial"/>
                <w:szCs w:val="24"/>
              </w:rPr>
              <w:t>إرسال</w:t>
            </w:r>
          </w:p>
        </w:tc>
      </w:tr>
    </w:tbl>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