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000" w:type="dxa"/>
        <w:tblLayout w:type="fixed"/>
        <w:tblBorders>
          <w:bottom w:val="single" w:sz="8" w:color="6A3DF5"/>
        </w:tblBorders>
      </w:tblPr>
      <w:tblGrid>
        <w:gridCol w:w="3500"/>
        <w:gridCol w:w="5500"/>
      </w:tblGrid>
      <w:t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drawing>
                <wp:inline distT="0" distB="0" distL="0" distR="0">
                  <wp:extent cx="720000" cy="720000"/>
                  <wp:effectExtent l="0" t="0" r="0" b="0"/>
                  <wp:docPr id="1" name="BMC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C"/>
                          <pic:cNvPicPr/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</w:pPr>
            <w:r>
              <w:rPr>
                <w:sz w:val="26"/>
                <w:szCs w:val="26"/>
                <w:b/>
                <w:bCs/>
                <w:color w:val="131319"/>
              </w:rPr>
              <w:t xml:space="preserve">Bimal Mohanan Consulting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18"/>
                <w:szCs w:val="18"/>
                <w:color w:val="6B6B7A"/>
              </w:rPr>
              <w:t xml:space="preserve">// cloud · finops · operational excellence</w:t>
            </w: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after="0"/>
            </w:pPr>
            <w:r>
              <w:rPr>
                <w:rFonts w:ascii="Consolas" w:hAnsi="Consolas" w:cs="Consolas"/>
                <w:sz w:val="22"/>
                <w:szCs w:val="22"/>
                <w:b/>
                <w:bCs/>
                <w:color w:val="131319"/>
              </w:rPr>
              <w:t xml:space="preserve">Bimal Mohanan</w:t>
            </w:r>
          </w:p>
          <w:p>
            <w:pPr>
              <w:jc w:val="right"/>
              <w:spacing w:after="0"/>
            </w:pPr>
            <w:r>
              <w:rPr>
                <w:rFonts w:ascii="Consolas" w:hAnsi="Consolas" w:cs="Consolas"/>
                <w:sz w:val="20"/>
                <w:szCs w:val="20"/>
                <w:color w:val="6B6B7A"/>
              </w:rPr>
              <w:t xml:space="preserve">Principal</w:t>
            </w:r>
          </w:p>
          <w:p>
            <w:pPr>
              <w:jc w:val="right"/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jc w:val="right"/>
              <w:spacing w:after="0"/>
            </w:pPr>
            <w:r>
              <w:rPr>
                <w:rFonts w:ascii="Consolas" w:hAnsi="Consolas" w:cs="Consolas"/>
                <w:sz w:val="20"/>
                <w:szCs w:val="20"/>
                <w:color w:val="3A3A48"/>
              </w:rPr>
              <w:t xml:space="preserve">11 Westferry Circus</w:t>
            </w:r>
          </w:p>
          <w:p>
            <w:pPr>
              <w:jc w:val="right"/>
              <w:spacing w:after="0"/>
            </w:pPr>
            <w:r>
              <w:rPr>
                <w:rFonts w:ascii="Consolas" w:hAnsi="Consolas" w:cs="Consolas"/>
                <w:sz w:val="20"/>
                <w:szCs w:val="20"/>
                <w:color w:val="3A3A48"/>
              </w:rPr>
              <w:t xml:space="preserve">London E14 4HD · United Kingdom</w:t>
            </w:r>
          </w:p>
          <w:p>
            <w:pPr>
              <w:jc w:val="right"/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jc w:val="right"/>
              <w:spacing w:after="0"/>
            </w:pPr>
            <w:r>
              <w:rPr>
                <w:rFonts w:ascii="Consolas" w:hAnsi="Consolas" w:cs="Consolas"/>
                <w:sz w:val="20"/>
                <w:szCs w:val="20"/>
                <w:color w:val="131319"/>
              </w:rPr>
              <w:t xml:space="preserve">hello@mohanan.uk · mohanan.uk</w:t>
            </w:r>
          </w:p>
        </w:tc>
      </w:tr>
    </w:tbl>
    <w:p>
      <w:pPr>
        <w:spacing w:before="240" w:after="0" w:line="280" w:lineRule="auto"/>
      </w:pPr>
      <w:r>
        <w:rPr>
          <w:sz w:val="8"/>
          <w:szCs w:val="8"/>
        </w:rPr>
        <w:t xml:space="preserve"> </w:t>
      </w:r>
    </w:p>
    <!-- meta row -->
    <w:p>
      <w:pPr>
        <w:spacing w:before="0" w:after="120" w:line="280" w:lineRule="auto"/>
      </w:pPr>
      <w:r>
        <w:rPr>
          <w:rFonts w:ascii="Consolas" w:hAnsi="Consolas" w:cs="Consolas"/>
          <w:sz w:val="18"/>
          <w:szCs w:val="18"/>
          <w:b/>
          <w:bCs/>
          <w:color w:val="6B6B7A"/>
        </w:rPr>
        <w:t xml:space="preserve">DATE  </w:t>
      </w:r>
      <w:r>
        <w:rPr>
          <w:sz w:val="20"/>
          <w:szCs w:val="20"/>
        </w:rPr>
        <w:t xml:space="preserve">25 May 2026</w:t>
      </w:r>
      <w:r>
        <w:rPr>
          <w:rFonts w:ascii="Consolas" w:hAnsi="Consolas" w:cs="Consolas"/>
          <w:sz w:val="18"/>
          <w:szCs w:val="18"/>
          <w:b/>
          <w:bCs/>
          <w:color w:val="6B6B7A"/>
        </w:rPr>
        <w:t xml:space="preserve">    REF  </w:t>
      </w:r>
      <w:r>
        <w:rPr>
          <w:sz w:val="20"/>
          <w:szCs w:val="20"/>
        </w:rPr>
        <w:t xml:space="preserve">BMC-LT-2026-05-014</w:t>
      </w:r>
    </w:p>
    <w:p>
      <w:pPr>
        <w:spacing w:before="0" w:after="360" w:line="280" w:lineRule="auto"/>
      </w:pPr>
      <w:r>
        <w:rPr>
          <w:rFonts w:ascii="Consolas" w:hAnsi="Consolas" w:cs="Consolas"/>
          <w:sz w:val="18"/>
          <w:szCs w:val="18"/>
          <w:b/>
          <w:bCs/>
          <w:color w:val="6B6B7A"/>
        </w:rPr>
        <w:t xml:space="preserve">ENGAGEMENT  </w:t>
      </w:r>
      <w:r>
        <w:rPr>
          <w:sz w:val="20"/>
          <w:szCs w:val="20"/>
        </w:rPr>
        <w:t xml:space="preserve">Cloud Cost &amp; Commitment Review</w:t>
      </w:r>
      <w:r>
        <w:rPr>
          <w:rFonts w:ascii="Consolas" w:hAnsi="Consolas" w:cs="Consolas"/>
          <w:sz w:val="18"/>
          <w:szCs w:val="18"/>
          <w:b/>
          <w:bCs/>
          <w:color w:val="6B6B7A"/>
        </w:rPr>
        <w:t xml:space="preserve">    PERIOD  </w:t>
      </w:r>
      <w:r>
        <w:rPr>
          <w:sz w:val="20"/>
          <w:szCs w:val="20"/>
        </w:rPr>
        <w:t xml:space="preserve">Jun – Aug 2026</w:t>
      </w:r>
    </w:p>
    <!-- addressee -->
    <w:p>
      <w:pPr>
        <w:spacing w:before="0" w:after="60" w:line="280" w:lineRule="auto"/>
      </w:pPr>
      <w:r>
        <w:rPr>
          <w:sz w:val="22"/>
          <w:szCs w:val="22"/>
          <w:b/>
          <w:bCs/>
        </w:rPr>
        <w:t xml:space="preserve">Helena Voss</w:t>
      </w:r>
    </w:p>
    <w:p>
      <w:pPr>
        <w:spacing w:before="0" w:after="60" w:line="280" w:lineRule="auto"/>
      </w:pPr>
      <w:r>
        <w:rPr>
          <w:sz w:val="22"/>
          <w:szCs w:val="22"/>
        </w:rPr>
        <w:t xml:space="preserve">Chief Financial Officer</w:t>
      </w:r>
    </w:p>
    <w:p>
      <w:pPr>
        <w:spacing w:before="0" w:after="60" w:line="280" w:lineRule="auto"/>
      </w:pPr>
      <w:r>
        <w:rPr>
          <w:sz w:val="22"/>
          <w:szCs w:val="22"/>
        </w:rPr>
        <w:t xml:space="preserve">Northwind Energy plc</w:t>
      </w:r>
    </w:p>
    <w:p>
      <w:pPr>
        <w:spacing w:before="0" w:after="60" w:line="280" w:lineRule="auto"/>
      </w:pPr>
      <w:r>
        <w:rPr>
          <w:sz w:val="22"/>
          <w:szCs w:val="22"/>
        </w:rPr>
        <w:t xml:space="preserve">1 Cathedral Square</w:t>
      </w:r>
    </w:p>
    <w:p>
      <w:pPr>
        <w:spacing w:before="0" w:after="300" w:line="280" w:lineRule="auto"/>
      </w:pPr>
      <w:r>
        <w:rPr>
          <w:sz w:val="22"/>
          <w:szCs w:val="22"/>
        </w:rPr>
        <w:t xml:space="preserve">Bristol BS1 5DD</w:t>
      </w:r>
    </w:p>
    <!-- subject -->
    <w:p>
      <w:pPr>
        <w:spacing w:before="0" w:after="260" w:line="280" w:lineRule="auto"/>
      </w:pPr>
      <w:r>
        <w:rPr>
          <w:rFonts w:ascii="Consolas" w:hAnsi="Consolas" w:cs="Consolas"/>
          <w:sz w:val="20"/>
          <w:szCs w:val="20"/>
          <w:color w:val="6B6B7A"/>
        </w:rPr>
        <w:t xml:space="preserve">Re:   </w:t>
      </w:r>
      <w:r>
        <w:rPr>
          <w:sz w:val="24"/>
          <w:szCs w:val="24"/>
          <w:b/>
          <w:bCs/>
          <w:color w:val="131319"/>
        </w:rPr>
        <w:t xml:space="preserve">Statement of Work — Cloud Cost &amp; Commitment Review (Northwind · Jun 2026)</w:t>
      </w:r>
    </w:p>
    <!-- body -->
    <w:p>
      <w:pPr>
        <w:spacing w:before="0" w:after="220" w:line="280" w:lineRule="auto"/>
      </w:pPr>
      <w:r>
        <w:rPr>
          <w:sz w:val="22"/>
          <w:szCs w:val="22"/>
        </w:rPr>
        <w:t xml:space="preserve">Dear Helena,</w:t>
      </w:r>
    </w:p>
    <w:p>
      <w:pPr>
        <w:spacing w:before="0" w:after="200" w:line="280" w:lineRule="auto"/>
      </w:pPr>
      <w:r>
        <w:rPr>
          <w:sz w:val="22"/>
          <w:szCs w:val="22"/>
        </w:rPr>
        <w:t xml:space="preserve">Thank you for the time on Wednesday. Following the conversation between yourself, Marcus, and the platform team, this letter sets out the proposed engagement to take a clear, commercially-honest look at Northwind’s AWS and Azure run-rate — and a credible plan to bring it back into line.</w:t>
      </w:r>
    </w:p>
    <w:p>
      <w:pPr>
        <w:spacing w:before="0" w:after="200" w:line="280" w:lineRule="auto"/>
      </w:pPr>
      <w:r>
        <w:rPr>
          <w:sz w:val="22"/>
          <w:szCs w:val="22"/>
        </w:rPr>
        <w:t xml:space="preserve">In short: we believe there is between </w:t>
      </w:r>
      <w:r>
        <w:rPr>
          <w:sz w:val="22"/>
          <w:szCs w:val="22"/>
          <w:b/>
          <w:bCs/>
        </w:rPr>
        <w:t xml:space="preserve">22%</w:t>
      </w:r>
      <w:r>
        <w:rPr>
          <w:sz w:val="22"/>
          <w:szCs w:val="22"/>
        </w:rPr>
        <w:t xml:space="preserve"> and </w:t>
      </w:r>
      <w:r>
        <w:rPr>
          <w:sz w:val="22"/>
          <w:szCs w:val="22"/>
          <w:b/>
          <w:bCs/>
        </w:rPr>
        <w:t xml:space="preserve">30%</w:t>
      </w:r>
      <w:r>
        <w:rPr>
          <w:sz w:val="22"/>
          <w:szCs w:val="22"/>
        </w:rPr>
        <w:t xml:space="preserve"> of measurable annual saving available to Northwind across the two clouds, recoverable inside a single quarter, without de-scoping the programme that is currently in flight.</w:t>
      </w:r>
    </w:p>
    <w:tbl>
      <w:tblPr>
        <w:tblW w:w="9000" w:type="dxa"/>
        <w:tblLayout w:type="fixed"/>
        <w:tblBorders>
          <w:left w:val="single" w:sz="18" w:color="6A3DF5"/>
        </w:tblBorders>
        <w:shd w:val="clear" w:fill="F1F1EC"/>
      </w:tblPr>
      <w:tblGrid>
        <w:gridCol w:w="9000"/>
      </w:tblGrid>
      <w:tr>
        <w:tc>
          <w:tcPr>
            <w:tcW w:w="9000" w:type="dxa"/>
            <w:shd w:val="clear" w:fill="F1F1EC"/>
            <w:tcMar>
              <w:top w:w="120" w:type="dxa"/>
              <w:bottom w:w="120" w:type="dxa"/>
              <w:left w:w="240" w:type="dxa"/>
              <w:right w:w="120" w:type="dxa"/>
            </w:tcMar>
            <w:tcBorders>
              <w:top w:val="nil"/>
              <w:right w:val="nil"/>
              <w:bottom w:val="nil"/>
            </w:tcBorders>
          </w:tcPr>
          <w:p>
            <w:pPr>
              <w:spacing w:before="80" w:after="80"/>
            </w:pPr>
            <w:r>
              <w:rPr>
                <w:rFonts w:ascii="Consolas" w:hAnsi="Consolas" w:cs="Consolas"/>
                <w:sz w:val="16"/>
                <w:szCs w:val="16"/>
                <w:b/>
                <w:bCs/>
                <w:color w:val="6B6B7A"/>
                <w:spacing w:val="20"/>
                <w:caps/>
              </w:rPr>
              <w:t xml:space="preserve">// SCOPE OF WORK</w:t>
            </w:r>
          </w:p>
          <w:p>
            <w:pPr>
              <w:spacing w:after="80"/>
              <w:ind w:left="240"/>
            </w:pPr>
            <w:r>
              <w:rPr>
                <w:rFonts w:ascii="Consolas" w:hAnsi="Consolas" w:cs="Consolas"/>
                <w:b/>
                <w:bCs/>
                <w:color w:val="D136E6"/>
              </w:rPr>
              <w:t xml:space="preserve">→  </w:t>
            </w:r>
            <w:r>
              <w:rPr>
                <w:sz w:val="20"/>
                <w:szCs w:val="20"/>
              </w:rPr>
              <w:t xml:space="preserve">Spend &amp; commitment baseline across AWS (eu-west-2, us-east-1) and Azure (uksouth, westeurope) for the trailing 90 days.</w:t>
            </w:r>
          </w:p>
          <w:p>
            <w:pPr>
              <w:spacing w:after="80"/>
              <w:ind w:left="240"/>
            </w:pPr>
            <w:r>
              <w:rPr>
                <w:rFonts w:ascii="Consolas" w:hAnsi="Consolas" w:cs="Consolas"/>
                <w:b/>
                <w:bCs/>
                <w:color w:val="D136E6"/>
              </w:rPr>
              <w:t xml:space="preserve">→  </w:t>
            </w:r>
            <w:r>
              <w:rPr>
                <w:sz w:val="20"/>
                <w:szCs w:val="20"/>
              </w:rPr>
              <w:t xml:space="preserve">Top-20 recommendation backlog — right-size, lifecycle, modernise, retire — prioritised by net annual saving and effort.</w:t>
            </w:r>
          </w:p>
          <w:p>
            <w:pPr>
              <w:spacing w:after="80"/>
              <w:ind w:left="240"/>
            </w:pPr>
            <w:r>
              <w:rPr>
                <w:rFonts w:ascii="Consolas" w:hAnsi="Consolas" w:cs="Consolas"/>
                <w:b/>
                <w:bCs/>
                <w:color w:val="D136E6"/>
              </w:rPr>
              <w:t xml:space="preserve">→  </w:t>
            </w:r>
            <w:r>
              <w:rPr>
                <w:sz w:val="20"/>
                <w:szCs w:val="20"/>
              </w:rPr>
              <w:t xml:space="preserve">Reserved Instances, Savings Plans and Azure Hybrid Benefit plan, sized to ≤85% of rolling baseline.</w:t>
            </w:r>
          </w:p>
          <w:p>
            <w:pPr>
              <w:spacing w:after="80"/>
              <w:ind w:left="240"/>
            </w:pPr>
            <w:r>
              <w:rPr>
                <w:rFonts w:ascii="Consolas" w:hAnsi="Consolas" w:cs="Consolas"/>
                <w:b/>
                <w:bCs/>
                <w:color w:val="D136E6"/>
              </w:rPr>
              <w:t xml:space="preserve">→  </w:t>
            </w:r>
            <w:r>
              <w:rPr>
                <w:sz w:val="20"/>
                <w:szCs w:val="20"/>
              </w:rPr>
              <w:t xml:space="preserve">Executive read-out plus a working session with the platform &amp; data teams to land the first wave.</w:t>
            </w:r>
          </w:p>
        </w:tc>
      </w:tr>
    </w:tbl>
    <w:p>
      <w:pPr>
        <w:spacing w:before="0" w:after="100" w:line="280" w:lineRule="auto"/>
      </w:pPr>
      <w:r>
        <w:rPr>
          <w:sz w:val="8"/>
          <w:szCs w:val="8"/>
        </w:rPr>
        <w:t xml:space="preserve"> </w:t>
      </w:r>
    </w:p>
    <w:p>
      <w:pPr>
        <w:spacing w:before="0" w:after="200" w:line="280" w:lineRule="auto"/>
      </w:pPr>
      <w:r>
        <w:rPr>
          <w:sz w:val="22"/>
          <w:szCs w:val="22"/>
        </w:rPr>
        <w:t xml:space="preserve">The work runs in three phases over six elapsed weeks. We embed inside Northwind’s existing standups — no parallel governance, no shadow programme. Your team owns the changes; we own the analysis and the commercial shape.</w:t>
      </w:r>
    </w:p>
    <w:tbl>
      <w:tblPr>
        <w:tblW w:w="9000" w:type="dxa"/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1F1EC"/>
            <w:tcBorders>
              <w:top w:val="single" w:sz="4" w:color="D9D8D5"/>
              <w:bottom w:val="single" w:sz="4" w:color="D9D8D5"/>
              <w:left w:val="single" w:sz="4" w:color="D9D8D5"/>
              <w:right w:val="single" w:sz="4" w:color="D9D8D5"/>
            </w:tcBorders>
          </w:tcPr>
          <w:p>
            <w:pPr>
              <w:spacing w:before="120" w:after="60"/>
            </w:pPr>
            <w:r>
              <w:rPr>
                <w:rFonts w:ascii="Consolas" w:hAnsi="Consolas" w:cs="Consolas"/>
                <w:sz w:val="16"/>
                <w:szCs w:val="16"/>
                <w:color w:val="6B6B7A"/>
                <w:spacing w:val="20"/>
                <w:caps/>
              </w:rPr>
              <w:t xml:space="preserve">// fee</w:t>
            </w:r>
          </w:p>
          <w:p>
            <w:pPr>
              <w:spacing w:after="40"/>
            </w:pPr>
            <w:r>
              <w:rPr>
                <w:sz w:val="36"/>
                <w:szCs w:val="36"/>
                <w:b/>
                <w:bCs/>
                <w:color w:val="131319"/>
              </w:rPr>
              <w:t xml:space="preserve">£24,000</w:t>
            </w:r>
          </w:p>
          <w:p>
            <w:pPr>
              <w:spacing w:after="120"/>
            </w:pPr>
            <w:r>
              <w:rPr>
                <w:rFonts w:ascii="Consolas" w:hAnsi="Consolas" w:cs="Consolas"/>
                <w:sz w:val="18"/>
                <w:szCs w:val="18"/>
                <w:color w:val="6B6B7A"/>
              </w:rPr>
              <w:t xml:space="preserve">fixed · ex-VAT · phased ½ / ½</w:t>
            </w:r>
          </w:p>
        </w:tc>
        <w:tc>
          <w:tcPr>
            <w:tcW w:w="3000" w:type="dxa"/>
            <w:shd w:val="clear" w:fill="F1F1EC"/>
            <w:tcBorders>
              <w:top w:val="single" w:sz="4" w:color="D9D8D5"/>
              <w:bottom w:val="single" w:sz="4" w:color="D9D8D5"/>
              <w:left w:val="single" w:sz="4" w:color="D9D8D5"/>
              <w:right w:val="single" w:sz="4" w:color="D9D8D5"/>
            </w:tcBorders>
          </w:tcPr>
          <w:p>
            <w:pPr>
              <w:spacing w:before="120" w:after="60"/>
            </w:pPr>
            <w:r>
              <w:rPr>
                <w:rFonts w:ascii="Consolas" w:hAnsi="Consolas" w:cs="Consolas"/>
                <w:sz w:val="16"/>
                <w:szCs w:val="16"/>
                <w:color w:val="6B6B7A"/>
                <w:spacing w:val="20"/>
                <w:caps/>
              </w:rPr>
              <w:t xml:space="preserve">// target saving</w:t>
            </w:r>
          </w:p>
          <w:p>
            <w:pPr>
              <w:spacing w:after="40"/>
            </w:pPr>
            <w:r>
              <w:rPr>
                <w:sz w:val="36"/>
                <w:szCs w:val="36"/>
                <w:b/>
                <w:bCs/>
                <w:color w:val="6A3DF5"/>
              </w:rPr>
              <w:t xml:space="preserve">£640k+</w:t>
            </w:r>
          </w:p>
          <w:p>
            <w:pPr>
              <w:spacing w:after="120"/>
            </w:pPr>
            <w:r>
              <w:rPr>
                <w:rFonts w:ascii="Consolas" w:hAnsi="Consolas" w:cs="Consolas"/>
                <w:sz w:val="18"/>
                <w:szCs w:val="18"/>
                <w:color w:val="6B6B7A"/>
              </w:rPr>
              <w:t xml:space="preserve">annualised · post-implementation</w:t>
            </w:r>
          </w:p>
        </w:tc>
        <w:tc>
          <w:tcPr>
            <w:tcW w:w="3000" w:type="dxa"/>
            <w:shd w:val="clear" w:fill="F1F1EC"/>
            <w:tcBorders>
              <w:top w:val="single" w:sz="4" w:color="D9D8D5"/>
              <w:bottom w:val="single" w:sz="4" w:color="D9D8D5"/>
              <w:left w:val="single" w:sz="4" w:color="D9D8D5"/>
              <w:right w:val="single" w:sz="4" w:color="D9D8D5"/>
            </w:tcBorders>
          </w:tcPr>
          <w:p>
            <w:pPr>
              <w:spacing w:before="120" w:after="60"/>
            </w:pPr>
            <w:r>
              <w:rPr>
                <w:rFonts w:ascii="Consolas" w:hAnsi="Consolas" w:cs="Consolas"/>
                <w:sz w:val="16"/>
                <w:szCs w:val="16"/>
                <w:color w:val="6B6B7A"/>
                <w:spacing w:val="20"/>
                <w:caps/>
              </w:rPr>
              <w:t xml:space="preserve">// payback</w:t>
            </w:r>
          </w:p>
          <w:p>
            <w:pPr>
              <w:spacing w:after="40"/>
            </w:pPr>
            <w:r>
              <w:rPr>
                <w:sz w:val="36"/>
                <w:szCs w:val="36"/>
                <w:b/>
                <w:bCs/>
                <w:color w:val="131319"/>
              </w:rPr>
              <w:t xml:space="preserve">≤ 5 months</w:t>
            </w:r>
          </w:p>
          <w:p>
            <w:pPr>
              <w:spacing w:after="120"/>
            </w:pPr>
            <w:r>
              <w:rPr>
                <w:rFonts w:ascii="Consolas" w:hAnsi="Consolas" w:cs="Consolas"/>
                <w:sz w:val="18"/>
                <w:szCs w:val="18"/>
                <w:color w:val="6B6B7A"/>
              </w:rPr>
              <w:t xml:space="preserve">commercial breakeven</w:t>
            </w:r>
          </w:p>
        </w:tc>
      </w:tr>
    </w:tbl>
    <w:p>
      <w:pPr>
        <w:spacing w:before="0" w:after="100" w:line="280" w:lineRule="auto"/>
      </w:pPr>
      <w:r>
        <w:rPr>
          <w:sz w:val="8"/>
          <w:szCs w:val="8"/>
        </w:rPr>
        <w:t xml:space="preserve"> </w:t>
      </w:r>
    </w:p>
    <w:p>
      <w:pPr>
        <w:spacing w:before="0" w:after="200" w:line="280" w:lineRule="auto"/>
      </w:pPr>
      <w:r>
        <w:rPr>
          <w:sz w:val="22"/>
          <w:szCs w:val="22"/>
        </w:rPr>
        <w:t xml:space="preserve">A counter-signed copy of this letter and the attached scope-of-work appendix will form the engagement contract. Standard BMC terms (NDA, IP, data-handling) follow as Appendix B; happy to red-line as needed.</w:t>
      </w:r>
    </w:p>
    <w:p>
      <w:pPr>
        <w:spacing w:before="0" w:after="240" w:line="280" w:lineRule="auto"/>
      </w:pPr>
      <w:r>
        <w:rPr>
          <w:sz w:val="22"/>
          <w:szCs w:val="22"/>
        </w:rPr>
        <w:t xml:space="preserve">If the above looks right, drop me a note and I will send the calendar invites for week 1. If there is anything you would like to shape differently — phasing, scope, commercial structure — let us get on a call this week.</w:t>
      </w:r>
    </w:p>
    <w:p>
      <w:pPr>
        <w:spacing w:before="0" w:after="320" w:line="280" w:lineRule="auto"/>
      </w:pPr>
      <w:r>
        <w:rPr>
          <w:sz w:val="22"/>
          <w:szCs w:val="22"/>
        </w:rPr>
        <w:t xml:space="preserve">With thanks,</w:t>
      </w:r>
    </w:p>
    <!-- signature -->
    <w:p>
      <w:pPr>
        <w:spacing w:before="0" w:after="60" w:line="280" w:lineRule="auto"/>
      </w:pPr>
      <w:r>
        <w:rPr>
          <w:sz w:val="44"/>
          <w:szCs w:val="44"/>
          <w:i/>
          <w:iCs/>
          <w:color w:val="6A3DF5"/>
        </w:rPr>
        <w:t xml:space="preserve">Bimal Mohanan</w:t>
      </w:r>
    </w:p>
    <w:p>
      <w:pPr>
        <w:spacing w:before="0" w:after="80" w:line="280" w:lineRule="auto"/>
      </w:pPr>
      <w:r>
        <w:rPr>
          <w:sz w:val="20"/>
          <w:szCs w:val="20"/>
          <w:b/>
          <w:bCs/>
        </w:rPr>
        <w:t xml:space="preserve">Bimal Mohanan</w:t>
      </w:r>
      <w:r>
        <w:rPr>
          <w:sz w:val="20"/>
          <w:szCs w:val="20"/>
          <w:color w:val="3A3A48"/>
        </w:rPr>
        <w:t xml:space="preserve">  ·  Principal  ·  Bimal Mohanan Consulting</w:t>
      </w:r>
    </w:p>
    <!-- footer rule + footer -->
    <w:p>
      <w:pPr>
        <w:spacing w:before="240" w:after="0" w:line="280" w:lineRule="auto"/>
        <w:pBdr>
          <w:bottom w:val="single" w:sz="6" w:space="4" w:color="D9D8D5"/>
        </w:pBdr>
      </w:pPr>
      <w:r>
        <w:rPr>
          <w:sz w:val="4"/>
          <w:szCs w:val="4"/>
        </w:rPr>
        <w:t xml:space="preserve"> </w:t>
      </w:r>
    </w:p>
    <w:p>
      <w:r>
        <w:rPr>
          <w:rFonts w:ascii="Consolas" w:hAnsi="Consolas" w:cs="Consolas"/>
          <w:sz w:val="16"/>
          <w:szCs w:val="16"/>
          <w:color w:val="6B6B7A"/>
        </w:rPr>
        <w:t xml:space="preserve">Bimal Mohanan Consulting · registered in England &amp; Wales</w:t>
      </w:r>
      <w:r>
        <w:rPr>
          <w:rFonts w:ascii="Consolas" w:hAnsi="Consolas" w:cs="Consolas"/>
          <w:sz w:val="16"/>
          <w:szCs w:val="16"/>
          <w:color w:val="6B6B7A"/>
        </w:rPr>
        <w:t xml:space="preserve">   ·   mohanan.uk  ·  hello@mohanan.uk</w:t>
      </w:r>
    </w:p>
    <!-- section properties (page setup) -->
    <w:sectPr>
      <w:pgSz w:w="11906" w:h="16838"/>
      <w:pgMar w:top="1418" w:right="1247" w:bottom="1418" w:left="1247" w:header="720" w:footer="720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10" Type="http://schemas.openxmlformats.org/officeDocument/2006/relationships/image" Target="media/image1.png"/>
</Relationships>
</file>