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1B7489">
        <w:rPr>
          <w:spacing w:val="-2"/>
        </w:rPr>
        <w:lastRenderedPageBreak/>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lastRenderedPageBreak/>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66721" cy="1773759"/>
                    </a:xfrm>
                    <a:prstGeom prst="rect">
                      <a:avLst/>
                    </a:prstGeom>
                  </pic:spPr>
                </pic:pic>
              </a:graphicData>
            </a:graphic>
          </wp:inline>
        </w:drawing>
      </w:r>
    </w:p>
    <w:p w:rsidR="00F5271C" w:rsidRDefault="0034780C" w:rsidP="0034780C">
      <w:pPr>
        <w:pStyle w:val="Caption"/>
        <w:jc w:val="both"/>
      </w:pPr>
      <w:r>
        <w:t xml:space="preserve">Figure </w:t>
      </w:r>
      <w:r w:rsidR="00CD7244">
        <w:fldChar w:fldCharType="begin"/>
      </w:r>
      <w:r>
        <w:instrText xml:space="preserve"> SEQ Figure \* ARABIC </w:instrText>
      </w:r>
      <w:r w:rsidR="00CD7244">
        <w:fldChar w:fldCharType="separate"/>
      </w:r>
      <w:r>
        <w:rPr>
          <w:noProof/>
        </w:rPr>
        <w:t>1</w:t>
      </w:r>
      <w:r w:rsidR="00CD7244">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r w:rsidR="00771A95">
        <w:rPr>
          <w:sz w:val="20"/>
        </w:rPr>
        <w:lastRenderedPageBreak/>
        <w:t>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r w:rsidRPr="008C203B">
        <w:rPr>
          <w:sz w:val="20"/>
        </w:rPr>
        <w:t xml:space="preserve">ICVGoggles is a project which has inherited work from previous research. The colour swapping in ICVGoggles is based off of CVDSimulation, a Processing application created by Dr. David Flatla. </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The process of simulating ICV has been around for a while and there is no shortage of applications and tools which can do so. What many of these tools cannot do is simulate the surroundings of the user in real-time, this is the problem ICVGoggles aims to solve.</w:t>
      </w:r>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Pr="00CF2C36">
        <w:rPr>
          <w:rStyle w:val="FootnoteReference"/>
          <w:sz w:val="20"/>
        </w:rPr>
        <w:footnoteReference w:id="3"/>
      </w:r>
      <w:r w:rsidRPr="00CF2C36">
        <w:rPr>
          <w:sz w:val="20"/>
        </w:rPr>
        <w:t xml:space="preserve"> provides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Pr="00CF2C36" w:rsidRDefault="00680D5F" w:rsidP="00680D5F">
      <w:pPr>
        <w:pStyle w:val="Heading2"/>
      </w:pPr>
      <w:r>
        <w:t>Motivation</w:t>
      </w: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 xml:space="preserve">over seven months and so it was necessary for the student to correctly plan out their </w:t>
      </w:r>
      <w:r w:rsidR="00E001FD">
        <w:rPr>
          <w:sz w:val="20"/>
        </w:rPr>
        <w:lastRenderedPageBreak/>
        <w:t>course of action.</w:t>
      </w:r>
      <w:r w:rsidR="007B6902">
        <w:rPr>
          <w:sz w:val="20"/>
        </w:rPr>
        <w:t xml:space="preserve"> The weekly meetings set up with the supervisor ensured progress could be monitored at regular intervals.</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w:t>
      </w:r>
      <w:r w:rsidR="00B22A22">
        <w:rPr>
          <w:b/>
          <w:sz w:val="20"/>
        </w:rPr>
        <w:t xml:space="preserve"> </w:t>
      </w:r>
      <w:r w:rsidR="00B22A22">
        <w:rPr>
          <w:sz w:val="20"/>
        </w:rPr>
        <w:t>Appendix A.</w:t>
      </w:r>
      <w:r w:rsidR="00D36924">
        <w:rPr>
          <w:sz w:val="20"/>
        </w:rPr>
        <w:t xml:space="preserve"> </w:t>
      </w:r>
      <w:r w:rsidR="000241BA" w:rsidRPr="002B3C51">
        <w:rPr>
          <w:sz w:val="20"/>
        </w:rPr>
        <w:t>These minute meetings contain thoughts gathered from the meeting with the supervisor and were used to plan work and to be reflected upon for the following week.</w:t>
      </w:r>
      <w:r w:rsidR="00873DC6">
        <w:rPr>
          <w:sz w:val="20"/>
        </w:rPr>
        <w:t xml:space="preserve"> A GitH</w:t>
      </w:r>
      <w:r w:rsidR="00E80B05" w:rsidRPr="002B3C51">
        <w:rPr>
          <w:sz w:val="20"/>
        </w:rPr>
        <w:t>ub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766227">
        <w:rPr>
          <w:sz w:val="20"/>
        </w:rPr>
        <w:t>Appendix</w:t>
      </w:r>
      <w:r w:rsidR="00BD65DC" w:rsidRPr="00766227">
        <w:rPr>
          <w:sz w:val="20"/>
        </w:rPr>
        <w:t xml:space="preserve"> B</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prestudy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prestudy interviews and the second stage evaluations. </w:t>
      </w:r>
      <w:r w:rsidR="001065BD">
        <w:rPr>
          <w:sz w:val="20"/>
        </w:rPr>
        <w:t xml:space="preserve">Within the labs is a PC which contains the Oculus Runtime and this enables the use of </w:t>
      </w:r>
      <w:r w:rsidR="00675401">
        <w:rPr>
          <w:sz w:val="20"/>
        </w:rPr>
        <w:t>ICVGoggles.</w:t>
      </w:r>
    </w:p>
    <w:p w:rsidR="00EF3996" w:rsidRDefault="00EF3996" w:rsidP="005534E8">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w:t>
      </w:r>
      <w:r w:rsidR="00EF7E1F">
        <w:rPr>
          <w:sz w:val="20"/>
        </w:rPr>
        <w:lastRenderedPageBreak/>
        <w:t>covered many research papers to do with ICV and discussions were held on a weekly basis with the class to cover them in detail.</w:t>
      </w:r>
    </w:p>
    <w:p w:rsidR="00EF3996" w:rsidRPr="00F5271C" w:rsidRDefault="00EF3996" w:rsidP="00EF3996">
      <w:pPr>
        <w:rPr>
          <w:sz w:val="20"/>
        </w:rPr>
      </w:pPr>
      <w:r w:rsidRPr="008C75BE">
        <w:rPr>
          <w:sz w:val="20"/>
        </w:rPr>
        <w:t>(ECVD paper</w:t>
      </w:r>
      <w:r>
        <w:rPr>
          <w:sz w:val="20"/>
        </w:rPr>
        <w:t>s)</w:t>
      </w:r>
    </w:p>
    <w:p w:rsidR="00EF3996" w:rsidRPr="00EF3996" w:rsidRDefault="00EF3996" w:rsidP="005534E8">
      <w:pPr>
        <w:rPr>
          <w:sz w:val="20"/>
        </w:rPr>
      </w:pPr>
    </w:p>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Pr="00B96F41" w:rsidRDefault="006110C5" w:rsidP="006201CC">
      <w:pPr>
        <w:rPr>
          <w:sz w:val="20"/>
        </w:rPr>
      </w:pPr>
      <w:r w:rsidRPr="00B96F41">
        <w:rPr>
          <w:sz w:val="20"/>
        </w:rPr>
        <w:t>The student required a platform to develop ICVGoggles on. T</w:t>
      </w:r>
      <w:r w:rsidR="007F0DFB">
        <w:rPr>
          <w:sz w:val="20"/>
        </w:rPr>
        <w:t xml:space="preserve">he Oculus SDK is available for Visual Studio </w:t>
      </w:r>
      <w:r w:rsidRPr="00B96F41">
        <w:rPr>
          <w:sz w:val="20"/>
        </w:rPr>
        <w:t>and for Unity; both platforms could be used for the project. It was decided by both the student and their supervisor to write the software in C++</w:t>
      </w:r>
      <w:r w:rsidR="007F0DFB">
        <w:rPr>
          <w:sz w:val="20"/>
        </w:rPr>
        <w:t xml:space="preserve"> on Visual Studio</w:t>
      </w:r>
      <w:r w:rsidRPr="00B96F41">
        <w:rPr>
          <w:sz w:val="20"/>
        </w:rPr>
        <w:t xml:space="preserve">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(ovrvision one cam</w:t>
      </w:r>
    </w:p>
    <w:p w:rsidR="006201CC" w:rsidRDefault="00AA4A83" w:rsidP="00D74F1D">
      <w:pPr>
        <w:pStyle w:val="Heading2"/>
      </w:pPr>
      <w:r>
        <w:t>Design M</w:t>
      </w:r>
      <w:r w:rsidR="006201CC" w:rsidRPr="008C75BE">
        <w:t>ethod</w:t>
      </w:r>
    </w:p>
    <w:p w:rsidR="006201CC" w:rsidRDefault="00B957F1" w:rsidP="00D74F1D">
      <w:pPr>
        <w:pStyle w:val="Heading2"/>
      </w:pPr>
      <w:r>
        <w:t>Software &amp; Hardware</w:t>
      </w:r>
    </w:p>
    <w:p w:rsidR="00591BF4" w:rsidRPr="00591BF4" w:rsidRDefault="00591BF4" w:rsidP="00591BF4"/>
    <w:p w:rsidR="001551EB" w:rsidRDefault="001551EB" w:rsidP="001551EB">
      <w:pPr>
        <w:pStyle w:val="Heading3"/>
      </w:pPr>
      <w:r>
        <w:t>C++ in Visual Studio</w:t>
      </w:r>
    </w:p>
    <w:p w:rsidR="00591BF4" w:rsidRPr="00591BF4" w:rsidRDefault="00591BF4" w:rsidP="00591BF4"/>
    <w:p w:rsidR="00D81E48" w:rsidRDefault="00CF1B15" w:rsidP="00CF1B15">
      <w:pPr>
        <w:rPr>
          <w:sz w:val="20"/>
        </w:rPr>
      </w:pPr>
      <w:r>
        <w:rPr>
          <w:sz w:val="20"/>
        </w:rPr>
        <w:t>The coding language of choice for ICVGoggles is C++ since it is what the Oculus SDK is coded in.</w:t>
      </w:r>
      <w:r w:rsidR="00CC6AC7">
        <w:rPr>
          <w:sz w:val="20"/>
        </w:rPr>
        <w:t xml:space="preserve"> C++ is a middle level language and is extremely versatile; it allows for low-level memory manipulation</w:t>
      </w:r>
      <w:r w:rsidR="008074A5">
        <w:rPr>
          <w:sz w:val="20"/>
        </w:rPr>
        <w:t xml:space="preserve"> </w:t>
      </w:r>
      <w:r w:rsidR="00E603DB">
        <w:rPr>
          <w:sz w:val="20"/>
        </w:rPr>
        <w:t>[</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OpenFrameworks contains a project generator which aided in starting up greatly.</w:t>
      </w:r>
      <w:r w:rsidR="00D81E48">
        <w:rPr>
          <w:sz w:val="20"/>
        </w:rPr>
        <w:t xml:space="preserve"> Visual Studio was chosen as it is the development platform the student is most confident with. </w:t>
      </w:r>
    </w:p>
    <w:p w:rsidR="00591BF4" w:rsidRPr="00CF1B15" w:rsidRDefault="00591BF4" w:rsidP="00CF1B15">
      <w:pPr>
        <w:rPr>
          <w:sz w:val="20"/>
        </w:rPr>
      </w:pPr>
    </w:p>
    <w:p w:rsidR="007367FC" w:rsidRDefault="001551EB" w:rsidP="007367FC">
      <w:pPr>
        <w:pStyle w:val="Heading3"/>
      </w:pPr>
      <w:r>
        <w:t>OpenFrameworks</w:t>
      </w:r>
    </w:p>
    <w:p w:rsidR="00591BF4" w:rsidRPr="00591BF4" w:rsidRDefault="00591BF4" w:rsidP="00591BF4"/>
    <w:p w:rsidR="001A2DEB" w:rsidRDefault="0072509A" w:rsidP="00164B3C">
      <w:pPr>
        <w:rPr>
          <w:sz w:val="20"/>
        </w:rPr>
      </w:pPr>
      <w:r>
        <w:rPr>
          <w:sz w:val="20"/>
        </w:rPr>
        <w:t xml:space="preserve">Coding ICVGoggles with just C++ and the Oculus SDK is a difficult task without the help of a framework. </w:t>
      </w:r>
      <w:r>
        <w:rPr>
          <w:sz w:val="20"/>
        </w:rPr>
        <w:lastRenderedPageBreak/>
        <w:t>OpenFrameworks is an intuitive open-source C++ framework design</w:t>
      </w:r>
      <w:r w:rsidR="008074A5">
        <w:rPr>
          <w:sz w:val="20"/>
        </w:rPr>
        <w:t>ed to assist creative processes [</w:t>
      </w:r>
      <w:r>
        <w:rPr>
          <w:sz w:val="20"/>
        </w:rPr>
        <w:t>2]</w:t>
      </w:r>
      <w:r w:rsidR="00B34CC1">
        <w:rPr>
          <w:sz w:val="20"/>
        </w:rPr>
        <w:t>.</w:t>
      </w:r>
      <w:r w:rsidR="00AE4595">
        <w:rPr>
          <w:sz w:val="20"/>
        </w:rPr>
        <w:t xml:space="preserve"> The toolkits design philosophy is DIWO (Do it with Others), where creating content is done as a community. This proved helpful during the design process as members of the online forum actively aid</w:t>
      </w:r>
      <w:r w:rsidR="00885C5B">
        <w:rPr>
          <w:sz w:val="20"/>
        </w:rPr>
        <w:t xml:space="preserve">ed in </w:t>
      </w:r>
      <w:r w:rsidR="006B4771">
        <w:rPr>
          <w:sz w:val="20"/>
        </w:rPr>
        <w:t>progressing with</w:t>
      </w:r>
      <w:bookmarkStart w:id="0" w:name="_GoBack"/>
      <w:bookmarkEnd w:id="0"/>
      <w:r w:rsidR="00885C5B">
        <w:rPr>
          <w:sz w:val="20"/>
        </w:rPr>
        <w:t xml:space="preserve"> some small issues for ICVGoggles.</w:t>
      </w:r>
      <w:r w:rsidR="001A2DEB">
        <w:rPr>
          <w:sz w:val="20"/>
        </w:rPr>
        <w:t xml:space="preserve"> OpenFrameworks is very similar to the programming language Processing</w:t>
      </w:r>
      <w:r w:rsidR="000A3D28">
        <w:rPr>
          <w:sz w:val="20"/>
        </w:rPr>
        <w:t xml:space="preserve"> [3]</w:t>
      </w:r>
      <w:r w:rsidR="001A2DEB">
        <w:rPr>
          <w:sz w:val="20"/>
        </w:rPr>
        <w:t>; a language the student had touched u</w:t>
      </w:r>
      <w:r w:rsidR="00FC5A43">
        <w:rPr>
          <w:sz w:val="20"/>
        </w:rPr>
        <w:t>pon in previous years of study.</w:t>
      </w:r>
      <w:r w:rsidR="00996FF3">
        <w:rPr>
          <w:sz w:val="20"/>
        </w:rPr>
        <w:t xml:space="preserve"> Because of this, it was easier for the student to learn the framework documentation.</w:t>
      </w:r>
    </w:p>
    <w:p w:rsidR="00770A2C" w:rsidRDefault="00770A2C" w:rsidP="00164B3C">
      <w:pPr>
        <w:rPr>
          <w:sz w:val="20"/>
        </w:rPr>
      </w:pPr>
      <w:r>
        <w:rPr>
          <w:sz w:val="20"/>
        </w:rPr>
        <w:t xml:space="preserve">OpenFrameworks comes with a project generation tool. After searching and finding which IDE's are installed on the machine, the tool allows the user to select additional </w:t>
      </w:r>
      <w:r w:rsidR="003B71B8">
        <w:rPr>
          <w:sz w:val="20"/>
        </w:rPr>
        <w:t>add-ons</w:t>
      </w:r>
      <w:r>
        <w:rPr>
          <w:sz w:val="20"/>
        </w:rPr>
        <w:t xml:space="preserve"> to add to the project. For ICVGoggles, the only </w:t>
      </w:r>
      <w:r w:rsidR="003B71B8">
        <w:rPr>
          <w:sz w:val="20"/>
        </w:rPr>
        <w:t>add-on</w:t>
      </w:r>
      <w:r>
        <w:rPr>
          <w:sz w:val="20"/>
        </w:rPr>
        <w:t xml:space="preserve"> used was ofxOculusDK2.</w:t>
      </w:r>
    </w:p>
    <w:p w:rsidR="00770A2C" w:rsidRDefault="00C23B08" w:rsidP="00164B3C">
      <w:pPr>
        <w:rPr>
          <w:sz w:val="20"/>
        </w:rPr>
      </w:pPr>
      <w:r>
        <w:rPr>
          <w:sz w:val="20"/>
        </w:rPr>
        <w:t>INSERT IMAGE OF PROJECT GENERATION</w:t>
      </w:r>
    </w:p>
    <w:p w:rsidR="00B62CE3" w:rsidRDefault="00B62CE3" w:rsidP="00377E47">
      <w:pPr>
        <w:pStyle w:val="Heading3"/>
      </w:pPr>
      <w:r>
        <w:t>Oculus SDK 0.6</w:t>
      </w:r>
    </w:p>
    <w:p w:rsidR="00247039" w:rsidRDefault="00247039" w:rsidP="00247039">
      <w:pPr>
        <w:spacing w:after="0"/>
        <w:rPr>
          <w:sz w:val="20"/>
        </w:rPr>
      </w:pPr>
    </w:p>
    <w:p w:rsidR="00247039" w:rsidRDefault="00247039" w:rsidP="007F0DFB">
      <w:pPr>
        <w:rPr>
          <w:sz w:val="20"/>
        </w:rPr>
      </w:pPr>
      <w:r>
        <w:rPr>
          <w:sz w:val="20"/>
        </w:rPr>
        <w:t xml:space="preserve">In order to utilise the Oculus Rift, the </w:t>
      </w:r>
      <w:r w:rsidR="007F0DFB">
        <w:rPr>
          <w:sz w:val="20"/>
        </w:rPr>
        <w:t>software development kit (SDK</w:t>
      </w:r>
      <w:r w:rsidR="007F0DFB" w:rsidRPr="008C75BE">
        <w:rPr>
          <w:sz w:val="20"/>
        </w:rPr>
        <w:t>)</w:t>
      </w:r>
      <w:r w:rsidR="007F0DFB">
        <w:rPr>
          <w:sz w:val="20"/>
        </w:rPr>
        <w:t xml:space="preserve"> must be installed. This large package contains all co</w:t>
      </w:r>
      <w:r w:rsidR="00EE456A">
        <w:rPr>
          <w:sz w:val="20"/>
        </w:rPr>
        <w:t>de required to use the headset. The Oculus Rift is mostly used for Virtual Reality (VR</w:t>
      </w:r>
      <w:r w:rsidR="00EE456A" w:rsidRPr="008C75BE">
        <w:rPr>
          <w:sz w:val="20"/>
        </w:rPr>
        <w:t>)</w:t>
      </w:r>
      <w:r w:rsidR="00EE456A">
        <w:rPr>
          <w:sz w:val="20"/>
        </w:rPr>
        <w:t xml:space="preserve"> and so many code examples and tutorials cater for this. ICVGoggles only requires feeding a camera stream to the headset and so the student decided to use a community add-on which facilitated this functionality.</w:t>
      </w:r>
    </w:p>
    <w:p w:rsidR="00EE456A" w:rsidRPr="00247039" w:rsidRDefault="00EE456A" w:rsidP="007F0DFB">
      <w:pPr>
        <w:rPr>
          <w:sz w:val="20"/>
        </w:rPr>
      </w:pPr>
    </w:p>
    <w:p w:rsidR="00377E47" w:rsidRDefault="001551EB" w:rsidP="00377E47">
      <w:pPr>
        <w:pStyle w:val="Heading3"/>
      </w:pPr>
      <w:r>
        <w:t xml:space="preserve">ofxOculusDK2 </w:t>
      </w:r>
      <w:r w:rsidR="003B71B8">
        <w:t>Add-on</w:t>
      </w:r>
    </w:p>
    <w:p w:rsidR="00377E47" w:rsidRPr="00377E47" w:rsidRDefault="00377E47" w:rsidP="00377E47">
      <w:pPr>
        <w:spacing w:after="0"/>
      </w:pPr>
    </w:p>
    <w:p w:rsidR="00770A2C" w:rsidRDefault="0031668E" w:rsidP="00770A2C">
      <w:pPr>
        <w:rPr>
          <w:sz w:val="20"/>
        </w:rPr>
      </w:pPr>
      <w:r>
        <w:rPr>
          <w:sz w:val="20"/>
        </w:rPr>
        <w:t>Since OpenFrameworks is open-source, there is a vibrant and active community which revolves around it.</w:t>
      </w:r>
      <w:r w:rsidR="00B62CE3">
        <w:rPr>
          <w:sz w:val="20"/>
        </w:rPr>
        <w:t xml:space="preserve"> It is commonplace for developers to create helpful packages and share them among the community.</w:t>
      </w:r>
      <w:r w:rsidR="00E13FE4">
        <w:rPr>
          <w:sz w:val="20"/>
        </w:rPr>
        <w:t xml:space="preserve"> ofxOculusDK2 (OpenFrameworks Oculus Developer Kit 2</w:t>
      </w:r>
      <w:r w:rsidR="00E13FE4" w:rsidRPr="008C75BE">
        <w:rPr>
          <w:sz w:val="20"/>
        </w:rPr>
        <w:t>)</w:t>
      </w:r>
      <w:r w:rsidR="00E13FE4">
        <w:rPr>
          <w:sz w:val="20"/>
        </w:rPr>
        <w:t xml:space="preserve"> was created by developer Andreas Muller and refactored by James George</w:t>
      </w:r>
      <w:r w:rsidR="009E599F">
        <w:rPr>
          <w:sz w:val="20"/>
        </w:rPr>
        <w:t xml:space="preserve"> [4]</w:t>
      </w:r>
      <w:r w:rsidR="00E13FE4">
        <w:rPr>
          <w:sz w:val="20"/>
        </w:rPr>
        <w:t xml:space="preserve">. This add-on accesses certain parts of the Oculus SDK to </w:t>
      </w:r>
      <w:r w:rsidR="001154ED">
        <w:rPr>
          <w:sz w:val="20"/>
        </w:rPr>
        <w:t>enable</w:t>
      </w:r>
      <w:r w:rsidR="00E13FE4">
        <w:rPr>
          <w:sz w:val="20"/>
        </w:rPr>
        <w:t xml:space="preserve"> basic</w:t>
      </w:r>
      <w:r w:rsidR="00E92688">
        <w:rPr>
          <w:sz w:val="20"/>
        </w:rPr>
        <w:t xml:space="preserve"> rift rendering functionality, giving the student a lightweight method to simulate ICV.</w:t>
      </w:r>
    </w:p>
    <w:p w:rsidR="00EE456A" w:rsidRPr="00770A2C" w:rsidRDefault="00EE456A" w:rsidP="00770A2C">
      <w:pPr>
        <w:rPr>
          <w:sz w:val="20"/>
        </w:rPr>
      </w:pPr>
    </w:p>
    <w:p w:rsidR="001551EB" w:rsidRDefault="001551EB" w:rsidP="001551EB">
      <w:pPr>
        <w:pStyle w:val="Heading3"/>
      </w:pPr>
      <w:r>
        <w:t>Oculus Rift</w:t>
      </w:r>
    </w:p>
    <w:p w:rsidR="00680D5F" w:rsidRDefault="00680D5F" w:rsidP="00680D5F">
      <w:pPr>
        <w:rPr>
          <w:sz w:val="20"/>
        </w:rPr>
      </w:pPr>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p>
    <w:p w:rsidR="00EE456A" w:rsidRPr="00680D5F" w:rsidRDefault="00EE456A" w:rsidP="00680D5F"/>
    <w:p w:rsidR="001551EB" w:rsidRDefault="001551EB" w:rsidP="001551EB">
      <w:pPr>
        <w:pStyle w:val="Heading3"/>
      </w:pPr>
      <w:r>
        <w:t>OVRVision Cameras</w:t>
      </w:r>
    </w:p>
    <w:p w:rsidR="00936248" w:rsidRDefault="00936248" w:rsidP="00936248"/>
    <w:p w:rsidR="00936248" w:rsidRPr="00936248" w:rsidRDefault="00936248" w:rsidP="00936248">
      <w:pPr>
        <w:rPr>
          <w:sz w:val="20"/>
        </w:rPr>
      </w:pPr>
      <w:r>
        <w:rPr>
          <w:sz w:val="20"/>
        </w:rPr>
        <w:t>In order to simulate the world in real-time, cameras are required for the Oculus Rift.</w:t>
      </w:r>
    </w:p>
    <w:p w:rsidR="001065BD" w:rsidRPr="001065BD" w:rsidRDefault="001065BD" w:rsidP="001065BD">
      <w:pPr>
        <w:pStyle w:val="Heading3"/>
      </w:pPr>
      <w:r>
        <w:t>Oculus Runtime</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lastRenderedPageBreak/>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r>
        <w:t>Prestudy Interviews</w:t>
      </w:r>
    </w:p>
    <w:p w:rsidR="00E7561B" w:rsidRPr="00870002" w:rsidRDefault="006201CC" w:rsidP="00E7561B">
      <w:pPr>
        <w:pStyle w:val="Heading2"/>
        <w:numPr>
          <w:ilvl w:val="0"/>
          <w:numId w:val="0"/>
        </w:numPr>
        <w:rPr>
          <w:b w:val="0"/>
          <w:sz w:val="22"/>
        </w:rPr>
      </w:pPr>
      <w:r w:rsidRPr="00870002">
        <w:rPr>
          <w:b w:val="0"/>
          <w:sz w:val="22"/>
        </w:rPr>
        <w:t>-prestudy interviews, main testing (plates and exploration), questionairre</w:t>
      </w:r>
      <w:r w:rsidR="00E7561B" w:rsidRPr="00870002">
        <w:rPr>
          <w:b w:val="0"/>
          <w:sz w:val="22"/>
        </w:rPr>
        <w:t>s</w:t>
      </w:r>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lastRenderedPageBreak/>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-Mobile ICVGoggles (garreth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6201CC" w:rsidRPr="006201CC" w:rsidRDefault="006201CC" w:rsidP="006201CC">
      <w:r w:rsidRPr="008C75BE">
        <w:rPr>
          <w:sz w:val="20"/>
        </w:rPr>
        <w:t>A copy of the mid-project progress report should be included.</w:t>
      </w:r>
    </w:p>
    <w:p w:rsidR="001B7489" w:rsidRDefault="001B7489" w:rsidP="001B7489">
      <w:pPr>
        <w:rPr>
          <w:sz w:val="20"/>
        </w:rPr>
      </w:pP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w:t>
      </w:r>
      <w:r w:rsidR="00BC2EDB">
        <w:rPr>
          <w:i/>
          <w:iCs/>
        </w:rPr>
        <w:t>ction t</w:t>
      </w:r>
      <w:r w:rsidRPr="00E40A24">
        <w:rPr>
          <w:i/>
          <w:iCs/>
        </w:rPr>
        <w:t>o Object-Oriented Programming in C++</w:t>
      </w:r>
      <w:r w:rsidR="006A044B" w:rsidRPr="00E40A24">
        <w:rPr>
          <w:i/>
          <w:iCs/>
        </w:rPr>
        <w:t>.</w:t>
      </w:r>
      <w:r w:rsidR="006A044B">
        <w:t xml:space="preserve"> </w:t>
      </w:r>
    </w:p>
    <w:p w:rsidR="008B197E" w:rsidRDefault="00BC2EDB">
      <w:pPr>
        <w:pStyle w:val="References"/>
      </w:pPr>
      <w:r>
        <w:t>OpenFrameworks C++ Toolkit. www.openframeworks.cc/about/</w:t>
      </w:r>
    </w:p>
    <w:p w:rsidR="000A3D28" w:rsidRDefault="000A3D28" w:rsidP="000A3D28">
      <w:pPr>
        <w:pStyle w:val="References"/>
      </w:pPr>
      <w:r>
        <w:t xml:space="preserve">Processing, the flexible software sketchbook. </w:t>
      </w:r>
      <w:r w:rsidRPr="000A3D28">
        <w:t>https://</w:t>
      </w:r>
      <w:r>
        <w:t>www.</w:t>
      </w:r>
      <w:r w:rsidRPr="000A3D28">
        <w:t>processing.org/</w:t>
      </w:r>
    </w:p>
    <w:p w:rsidR="009402A8" w:rsidRDefault="009402A8" w:rsidP="000A3D28">
      <w:pPr>
        <w:pStyle w:val="References"/>
      </w:pPr>
      <w:r>
        <w:t>ofxOculusDK2 OpenFrameworks Add-on</w:t>
      </w:r>
      <w:r w:rsidR="003C5841">
        <w:t>.</w:t>
      </w:r>
      <w:r>
        <w:t xml:space="preserve"> </w:t>
      </w:r>
      <w:r w:rsidRPr="009402A8">
        <w:t>https://github.com/obviousjim/ofxOculusDK2</w:t>
      </w:r>
    </w:p>
    <w:p w:rsidR="0072509A" w:rsidRDefault="0072509A" w:rsidP="0072509A">
      <w:pPr>
        <w:pStyle w:val="References"/>
        <w:numPr>
          <w:ilvl w:val="0"/>
          <w:numId w:val="0"/>
        </w:numPr>
        <w:ind w:left="360"/>
      </w:pPr>
    </w:p>
    <w:p w:rsidR="0072509A" w:rsidRDefault="0072509A" w:rsidP="0072509A">
      <w:pPr>
        <w:pStyle w:val="References"/>
        <w:numPr>
          <w:ilvl w:val="0"/>
          <w:numId w:val="0"/>
        </w:numPr>
        <w:ind w:left="360"/>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p>
    <w:p w:rsidR="0072509A" w:rsidRPr="00096B77" w:rsidRDefault="0072509A" w:rsidP="00096B77">
      <w:pPr>
        <w:spacing w:after="0"/>
        <w:jc w:val="left"/>
        <w:rPr>
          <w:sz w:val="20"/>
        </w:rPr>
      </w:pPr>
    </w:p>
    <w:p w:rsidR="0072509A" w:rsidRPr="00096B77" w:rsidRDefault="0072509A" w:rsidP="00096B77">
      <w:pPr>
        <w:spacing w:after="0"/>
        <w:jc w:val="left"/>
        <w:rPr>
          <w:sz w:val="20"/>
        </w:rPr>
        <w:sectPr w:rsidR="0072509A" w:rsidRPr="00096B77" w:rsidSect="003B4153">
          <w:type w:val="continuous"/>
          <w:pgSz w:w="12240" w:h="15840" w:code="1"/>
          <w:pgMar w:top="1080" w:right="1080" w:bottom="1440" w:left="1080" w:header="720" w:footer="720" w:gutter="0"/>
          <w:cols w:num="2" w:space="475"/>
        </w:sectPr>
      </w:pPr>
      <w:r w:rsidRPr="00096B77">
        <w:rPr>
          <w:sz w:val="20"/>
        </w:rPr>
        <w:lastRenderedPageBreak/>
        <w:t>Appendix B - Gantt Chart</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B1B" w:rsidRDefault="00BC3B1B">
      <w:r>
        <w:separator/>
      </w:r>
    </w:p>
  </w:endnote>
  <w:endnote w:type="continuationSeparator" w:id="0">
    <w:p w:rsidR="00BC3B1B" w:rsidRDefault="00BC3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CD7244">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B1B" w:rsidRDefault="00BC3B1B">
      <w:r>
        <w:separator/>
      </w:r>
    </w:p>
  </w:footnote>
  <w:footnote w:type="continuationSeparator" w:id="0">
    <w:p w:rsidR="00BC3B1B" w:rsidRDefault="00BC3B1B">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Yehor Lvivski for Google Chrome</w:t>
      </w:r>
    </w:p>
  </w:footnote>
  <w:footnote w:id="3">
    <w:p w:rsidR="003C6B75" w:rsidRPr="003C6B75" w:rsidRDefault="003C6B75">
      <w:pPr>
        <w:pStyle w:val="FootnoteText"/>
      </w:pPr>
      <w:r>
        <w:rPr>
          <w:rStyle w:val="FootnoteReference"/>
        </w:rPr>
        <w:footnoteRef/>
      </w:r>
      <w:r>
        <w:t xml:space="preserve"> Vischeck Photoshop Plugin - </w:t>
      </w:r>
      <w:r w:rsidRPr="003C6B75">
        <w:t>http://www.vischeck.com/</w:t>
      </w:r>
    </w:p>
  </w:footnote>
  <w:footnote w:id="4">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3CA2"/>
    <w:rsid w:val="00016D54"/>
    <w:rsid w:val="000241BA"/>
    <w:rsid w:val="000355F6"/>
    <w:rsid w:val="00053C0C"/>
    <w:rsid w:val="000555CB"/>
    <w:rsid w:val="00073F8A"/>
    <w:rsid w:val="00075B23"/>
    <w:rsid w:val="0009221E"/>
    <w:rsid w:val="000962D2"/>
    <w:rsid w:val="0009634A"/>
    <w:rsid w:val="00096B77"/>
    <w:rsid w:val="000A211D"/>
    <w:rsid w:val="000A3D28"/>
    <w:rsid w:val="000A6043"/>
    <w:rsid w:val="000C0A0B"/>
    <w:rsid w:val="000D4DB0"/>
    <w:rsid w:val="000D6B3E"/>
    <w:rsid w:val="000D7AD9"/>
    <w:rsid w:val="001065BD"/>
    <w:rsid w:val="001154ED"/>
    <w:rsid w:val="00133701"/>
    <w:rsid w:val="001378B9"/>
    <w:rsid w:val="00147E27"/>
    <w:rsid w:val="00152ED6"/>
    <w:rsid w:val="001551EB"/>
    <w:rsid w:val="001578EE"/>
    <w:rsid w:val="00164B3C"/>
    <w:rsid w:val="00172159"/>
    <w:rsid w:val="001A2DEB"/>
    <w:rsid w:val="001A6D12"/>
    <w:rsid w:val="001A7843"/>
    <w:rsid w:val="001B7489"/>
    <w:rsid w:val="001E4A9D"/>
    <w:rsid w:val="0020318B"/>
    <w:rsid w:val="00206035"/>
    <w:rsid w:val="002354EC"/>
    <w:rsid w:val="00247039"/>
    <w:rsid w:val="002711BB"/>
    <w:rsid w:val="002763CE"/>
    <w:rsid w:val="00276401"/>
    <w:rsid w:val="0027698B"/>
    <w:rsid w:val="002B3C51"/>
    <w:rsid w:val="002C1459"/>
    <w:rsid w:val="002D2C9C"/>
    <w:rsid w:val="002D6A57"/>
    <w:rsid w:val="002E0C0F"/>
    <w:rsid w:val="00304193"/>
    <w:rsid w:val="003074ED"/>
    <w:rsid w:val="00313F95"/>
    <w:rsid w:val="0031668E"/>
    <w:rsid w:val="0034780C"/>
    <w:rsid w:val="00351097"/>
    <w:rsid w:val="00351BE6"/>
    <w:rsid w:val="00366ECD"/>
    <w:rsid w:val="00375299"/>
    <w:rsid w:val="00377A65"/>
    <w:rsid w:val="00377E47"/>
    <w:rsid w:val="003814DD"/>
    <w:rsid w:val="00386DD7"/>
    <w:rsid w:val="003A662A"/>
    <w:rsid w:val="003B30CF"/>
    <w:rsid w:val="003B3621"/>
    <w:rsid w:val="003B4153"/>
    <w:rsid w:val="003B71B8"/>
    <w:rsid w:val="003B7FA7"/>
    <w:rsid w:val="003C5841"/>
    <w:rsid w:val="003C6B75"/>
    <w:rsid w:val="003D64BF"/>
    <w:rsid w:val="003E2E37"/>
    <w:rsid w:val="003E3258"/>
    <w:rsid w:val="004262BA"/>
    <w:rsid w:val="004620F8"/>
    <w:rsid w:val="00474255"/>
    <w:rsid w:val="004B657D"/>
    <w:rsid w:val="004D68FC"/>
    <w:rsid w:val="004F3D8E"/>
    <w:rsid w:val="0050594A"/>
    <w:rsid w:val="00523C39"/>
    <w:rsid w:val="0054074A"/>
    <w:rsid w:val="005534E8"/>
    <w:rsid w:val="00554AD7"/>
    <w:rsid w:val="00571CED"/>
    <w:rsid w:val="005842F9"/>
    <w:rsid w:val="005860F1"/>
    <w:rsid w:val="0058784B"/>
    <w:rsid w:val="00591BF4"/>
    <w:rsid w:val="005B6A93"/>
    <w:rsid w:val="005C2F0D"/>
    <w:rsid w:val="005C5F27"/>
    <w:rsid w:val="005D28A1"/>
    <w:rsid w:val="00603A4D"/>
    <w:rsid w:val="006110C5"/>
    <w:rsid w:val="00616989"/>
    <w:rsid w:val="00616B38"/>
    <w:rsid w:val="006170C6"/>
    <w:rsid w:val="0061710B"/>
    <w:rsid w:val="006201CC"/>
    <w:rsid w:val="0062758A"/>
    <w:rsid w:val="00647096"/>
    <w:rsid w:val="00650311"/>
    <w:rsid w:val="006563B5"/>
    <w:rsid w:val="00664F8E"/>
    <w:rsid w:val="00675401"/>
    <w:rsid w:val="00680D5F"/>
    <w:rsid w:val="0068547D"/>
    <w:rsid w:val="0069356A"/>
    <w:rsid w:val="006A044B"/>
    <w:rsid w:val="006A1FA3"/>
    <w:rsid w:val="006B11DC"/>
    <w:rsid w:val="006B4771"/>
    <w:rsid w:val="006D451E"/>
    <w:rsid w:val="006E5813"/>
    <w:rsid w:val="006F05F0"/>
    <w:rsid w:val="006F7E8F"/>
    <w:rsid w:val="00710E7B"/>
    <w:rsid w:val="0072509A"/>
    <w:rsid w:val="007367FC"/>
    <w:rsid w:val="00737114"/>
    <w:rsid w:val="00766227"/>
    <w:rsid w:val="00770A2C"/>
    <w:rsid w:val="00771A95"/>
    <w:rsid w:val="00787583"/>
    <w:rsid w:val="00793DF2"/>
    <w:rsid w:val="007A0E75"/>
    <w:rsid w:val="007A40ED"/>
    <w:rsid w:val="007A6C0D"/>
    <w:rsid w:val="007B6902"/>
    <w:rsid w:val="007C08CF"/>
    <w:rsid w:val="007C3600"/>
    <w:rsid w:val="007E1181"/>
    <w:rsid w:val="007F0DFB"/>
    <w:rsid w:val="00803A57"/>
    <w:rsid w:val="008074A5"/>
    <w:rsid w:val="00825C5A"/>
    <w:rsid w:val="00833FCB"/>
    <w:rsid w:val="00837CF6"/>
    <w:rsid w:val="00844CDE"/>
    <w:rsid w:val="00852527"/>
    <w:rsid w:val="008536AF"/>
    <w:rsid w:val="00863A85"/>
    <w:rsid w:val="00870002"/>
    <w:rsid w:val="008704BD"/>
    <w:rsid w:val="00871F26"/>
    <w:rsid w:val="00873DC6"/>
    <w:rsid w:val="0087467E"/>
    <w:rsid w:val="00885C5B"/>
    <w:rsid w:val="0088739D"/>
    <w:rsid w:val="008B0897"/>
    <w:rsid w:val="008B197E"/>
    <w:rsid w:val="008B1A77"/>
    <w:rsid w:val="008B1CA5"/>
    <w:rsid w:val="008C203B"/>
    <w:rsid w:val="008F7414"/>
    <w:rsid w:val="00905E17"/>
    <w:rsid w:val="00936248"/>
    <w:rsid w:val="009402A8"/>
    <w:rsid w:val="00941EFD"/>
    <w:rsid w:val="00966878"/>
    <w:rsid w:val="00996FF3"/>
    <w:rsid w:val="009B701B"/>
    <w:rsid w:val="009D7B5B"/>
    <w:rsid w:val="009E599F"/>
    <w:rsid w:val="009F334B"/>
    <w:rsid w:val="00A0174F"/>
    <w:rsid w:val="00A02F02"/>
    <w:rsid w:val="00A105B5"/>
    <w:rsid w:val="00A60B73"/>
    <w:rsid w:val="00A66E61"/>
    <w:rsid w:val="00A97C35"/>
    <w:rsid w:val="00AA4A83"/>
    <w:rsid w:val="00AA718F"/>
    <w:rsid w:val="00AC02E4"/>
    <w:rsid w:val="00AE2664"/>
    <w:rsid w:val="00AE4595"/>
    <w:rsid w:val="00B0249C"/>
    <w:rsid w:val="00B22A22"/>
    <w:rsid w:val="00B339CA"/>
    <w:rsid w:val="00B34CC1"/>
    <w:rsid w:val="00B36D10"/>
    <w:rsid w:val="00B5326C"/>
    <w:rsid w:val="00B606DF"/>
    <w:rsid w:val="00B62CE3"/>
    <w:rsid w:val="00B63F89"/>
    <w:rsid w:val="00B67A76"/>
    <w:rsid w:val="00B91AA9"/>
    <w:rsid w:val="00B957F1"/>
    <w:rsid w:val="00B96F41"/>
    <w:rsid w:val="00BC2EDB"/>
    <w:rsid w:val="00BC3B1B"/>
    <w:rsid w:val="00BC4C60"/>
    <w:rsid w:val="00BD51A0"/>
    <w:rsid w:val="00BD65DC"/>
    <w:rsid w:val="00BE1DCB"/>
    <w:rsid w:val="00BF3697"/>
    <w:rsid w:val="00C23B08"/>
    <w:rsid w:val="00C7584B"/>
    <w:rsid w:val="00CB4646"/>
    <w:rsid w:val="00CC6AC7"/>
    <w:rsid w:val="00CC70B8"/>
    <w:rsid w:val="00CD2424"/>
    <w:rsid w:val="00CD7244"/>
    <w:rsid w:val="00CD7EC6"/>
    <w:rsid w:val="00CF1B15"/>
    <w:rsid w:val="00CF2C36"/>
    <w:rsid w:val="00D3292B"/>
    <w:rsid w:val="00D36924"/>
    <w:rsid w:val="00D67F36"/>
    <w:rsid w:val="00D74F1D"/>
    <w:rsid w:val="00D81E48"/>
    <w:rsid w:val="00D92BF1"/>
    <w:rsid w:val="00D94B20"/>
    <w:rsid w:val="00DA70EA"/>
    <w:rsid w:val="00DB7AD4"/>
    <w:rsid w:val="00DE5474"/>
    <w:rsid w:val="00E001FD"/>
    <w:rsid w:val="00E0298C"/>
    <w:rsid w:val="00E13FE4"/>
    <w:rsid w:val="00E14C91"/>
    <w:rsid w:val="00E15194"/>
    <w:rsid w:val="00E26518"/>
    <w:rsid w:val="00E314BD"/>
    <w:rsid w:val="00E3178B"/>
    <w:rsid w:val="00E36AC3"/>
    <w:rsid w:val="00E40A24"/>
    <w:rsid w:val="00E434C9"/>
    <w:rsid w:val="00E562E1"/>
    <w:rsid w:val="00E603DB"/>
    <w:rsid w:val="00E61225"/>
    <w:rsid w:val="00E7561B"/>
    <w:rsid w:val="00E80B05"/>
    <w:rsid w:val="00E92688"/>
    <w:rsid w:val="00EA400C"/>
    <w:rsid w:val="00EB1C75"/>
    <w:rsid w:val="00EC1F6A"/>
    <w:rsid w:val="00ED3D93"/>
    <w:rsid w:val="00EE456A"/>
    <w:rsid w:val="00EF3996"/>
    <w:rsid w:val="00EF7E1F"/>
    <w:rsid w:val="00F34659"/>
    <w:rsid w:val="00F47F00"/>
    <w:rsid w:val="00F50B82"/>
    <w:rsid w:val="00F5271C"/>
    <w:rsid w:val="00F5619A"/>
    <w:rsid w:val="00F6129B"/>
    <w:rsid w:val="00F96495"/>
    <w:rsid w:val="00FA5279"/>
    <w:rsid w:val="00FC5A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2E005-1345-4684-8976-20943DD8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5</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14799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88</cp:revision>
  <cp:lastPrinted>2011-01-13T15:51:00Z</cp:lastPrinted>
  <dcterms:created xsi:type="dcterms:W3CDTF">2016-04-19T10:30:00Z</dcterms:created>
  <dcterms:modified xsi:type="dcterms:W3CDTF">2016-04-19T21:17:00Z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