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22/10/2015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discussed our ethics first drafts with David and were able to find points to improve upon.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amend ethics: Interview with questions, do tests with and without, let them explore with it on for a bit (5 mins) then finish with a final interview with questions.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Future work should be included in the thesis.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Counterbalance ishihara plates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**** Asterisk this bit, about this avenue below 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It’s possible that we will be doing testing on parents and children with colour blindness. If so, one parent must be with the child and thus cannot participate in the study.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PVG soon because it takes time to process.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Could possibly interview ICV and non ICV people about the system concept. Gives more to discuss at the latter of the thesis.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Formative interviews with questions already done. To show the desire for the systems.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Formative and formal interviews need separate information sheets and consent forms.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Try to remain as neutral and as impartial as possible to prevent experimental bias (only in the study with participants)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Think about research 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