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48zadr59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Taller de Arquitectura Big Data: DataBank Metropolitan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relnb2gkub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 Public Dataset (U.S. Securities and Exchange Commission):</w:t>
      </w:r>
      <w:r w:rsidDel="00000000" w:rsidR="00000000" w:rsidRPr="00000000">
        <w:rPr>
          <w:rtl w:val="0"/>
        </w:rPr>
        <w:t xml:space="preserve"> Contiene información financiera de empresas públicas, incluyendo balances y estados de resultados.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Perfecto para la vertical de </w:t>
      </w:r>
      <w:r w:rsidDel="00000000" w:rsidR="00000000" w:rsidRPr="00000000">
        <w:rPr>
          <w:b w:val="1"/>
          <w:bCs w:val="1"/>
          <w:rtl w:val="0"/>
        </w:rPr>
        <w:t xml:space="preserve">Informes Operativos</w:t>
      </w:r>
      <w:r w:rsidDel="00000000" w:rsidR="00000000" w:rsidRPr="00000000">
        <w:rPr>
          <w:rtl w:val="0"/>
        </w:rPr>
        <w:t xml:space="preserve"> y para comparar el rendimiento de Lumina Bank contra el sector.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Directo en BigQuery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bigquery-public-data.sec_quarterly_financials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Exchange Data International (EDI):</w:t>
      </w:r>
      <w:r w:rsidDel="00000000" w:rsidR="00000000" w:rsidRPr="00000000">
        <w:rPr>
          <w:rtl w:val="0"/>
        </w:rPr>
        <w:t xml:space="preserve"> Datos de acciones, dividendos y precios de cierre globales.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Disponible a través de </w:t>
      </w:r>
      <w:r w:rsidDel="00000000" w:rsidR="00000000" w:rsidRPr="00000000">
        <w:rPr>
          <w:b w:val="1"/>
          <w:bCs w:val="1"/>
          <w:rtl w:val="0"/>
        </w:rPr>
        <w:t xml:space="preserve">Analytics Hub</w:t>
      </w:r>
      <w:r w:rsidDel="00000000" w:rsidR="00000000" w:rsidRPr="00000000">
        <w:rPr>
          <w:rtl w:val="0"/>
        </w:rPr>
        <w:t xml:space="preserve"> en la consola de Google Cloud.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ygcsmzqzu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de Contexto Económico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Trends:</w:t>
      </w:r>
      <w:r w:rsidDel="00000000" w:rsidR="00000000" w:rsidRPr="00000000">
        <w:rPr>
          <w:rtl w:val="0"/>
        </w:rPr>
        <w:t xml:space="preserve"> Datos sobre búsquedas relacionadas con términos financieros (ej. "préstamos", "ahorro").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Integrar esta data para predecir picos de demanda digital por distritos.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bigquery-public-data.google_trends.top_terms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qiy2geiwl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Detección de Fraude y Transacciones (Vertical I: Tiempo Real)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PaySim (Synthetic Financial Datasets):</w:t>
      </w:r>
      <w:r w:rsidDel="00000000" w:rsidR="00000000" w:rsidRPr="00000000">
        <w:rPr>
          <w:rtl w:val="0"/>
        </w:rPr>
        <w:t xml:space="preserve"> Es el estándar para simular banca móvil. Genera registros de transferencias, depósitos y retiros con marcas de fraude.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https://www.kaggle.com/datasets/stealthknight/paysim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OJO hay que conectar las distintas fuertes: para ello pueden a partir de lo de arriba unir y poder cruzar la información  de distintas fuentes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0a6xkv9iaw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wgyotoh6v5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financiero de la región de </w:t>
      </w:r>
      <w:r w:rsidDel="00000000" w:rsidR="00000000" w:rsidRPr="00000000">
        <w:rPr>
          <w:b w:val="1"/>
          <w:bCs w:val="1"/>
          <w:rtl w:val="0"/>
        </w:rPr>
        <w:t xml:space="preserve">DataLandia</w:t>
      </w:r>
      <w:r w:rsidDel="00000000" w:rsidR="00000000" w:rsidRPr="00000000">
        <w:rPr>
          <w:rtl w:val="0"/>
        </w:rPr>
        <w:t xml:space="preserve"> ha experimentado un crecimiento exponencial. La red bancaria metropolitana, con más de </w:t>
      </w:r>
      <w:r w:rsidDel="00000000" w:rsidR="00000000" w:rsidRPr="00000000">
        <w:rPr>
          <w:b w:val="1"/>
          <w:bCs w:val="1"/>
          <w:rtl w:val="0"/>
        </w:rPr>
        <w:t xml:space="preserve">9 millones de clientes</w:t>
      </w:r>
      <w:r w:rsidDel="00000000" w:rsidR="00000000" w:rsidRPr="00000000">
        <w:rPr>
          <w:rtl w:val="0"/>
        </w:rPr>
        <w:t xml:space="preserve"> distribuidos en ocho distritos financieros, enfrenta desafíos de gestión de activos y servicios digitales complejos y crecientes.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axg6ok90w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Desafíos Actuales del Sector Bancario: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Expansión Digital y Dispersión de Clientes:</w:t>
      </w:r>
      <w:r w:rsidDel="00000000" w:rsidR="00000000" w:rsidRPr="00000000">
        <w:rPr>
          <w:rtl w:val="0"/>
        </w:rPr>
        <w:t xml:space="preserve"> El crecimiento ha llevado a una digitalización masiva. Los clientes operan desde toda la región, lo que significa que la mayoría no acude a oficinas físicas y depende exclusivamente de canales digitales para sus transacciones.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Congestión de Procesamiento:</w:t>
      </w:r>
      <w:r w:rsidDel="00000000" w:rsidR="00000000" w:rsidRPr="00000000">
        <w:rPr>
          <w:rtl w:val="0"/>
        </w:rPr>
        <w:t xml:space="preserve"> Durante los días de pago o cierres de mes, los sistemas sufren latencia, lo que provoca retrasos en la validación de transacciones y transferencias.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Desajuste Demográfico y de Infraestructura: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población de edad avanzada, que reside principalmente en zonas residenciales, a menudo tiene dificultades con las Apps móviles y prefiere atención humana.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Las generaciones más jóvenes prefieren servicios 100% digitales y automatizados, pero la oferta de productos personalizados en tiempo real es limitada.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Fragmentación de Entidades Financieras:</w:t>
      </w:r>
      <w:r w:rsidDel="00000000" w:rsidR="00000000" w:rsidRPr="00000000">
        <w:rPr>
          <w:rtl w:val="0"/>
        </w:rPr>
        <w:t xml:space="preserve"> La región cuenta con doce instituciones bancarias independientes y desconectadas. Estas entidades compiten por recursos sin compartir información que ayude a prevenir fraudes o mejorar el perfilamiento de riesgo.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 de Cajeros y Oficinas Subutilizada:</w:t>
      </w:r>
      <w:r w:rsidDel="00000000" w:rsidR="00000000" w:rsidRPr="00000000">
        <w:rPr>
          <w:rtl w:val="0"/>
        </w:rPr>
        <w:t xml:space="preserve"> DataBank posee una impresionante infraestructura física. El 89% de los clientes vive o trabaja a menos de 8 km de un punto de atención. Sin embargo, el sistema no ofrece servicios de "última milla digital", es decir, la conexión eficiente entre la necesidad financiera inmediata del usuario y la infraestructura disponible.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2024, se aprobó la </w:t>
      </w:r>
      <w:r w:rsidDel="00000000" w:rsidR="00000000" w:rsidRPr="00000000">
        <w:rPr>
          <w:b w:val="1"/>
          <w:bCs w:val="1"/>
          <w:rtl w:val="0"/>
        </w:rPr>
        <w:t xml:space="preserve">Iniciativa Financiera Lumina</w:t>
      </w:r>
      <w:r w:rsidDel="00000000" w:rsidR="00000000" w:rsidRPr="00000000">
        <w:rPr>
          <w:rtl w:val="0"/>
        </w:rPr>
        <w:t xml:space="preserve">, que unifica los servicios de estas doce agencias bajo una plataforma única conocida como </w:t>
      </w:r>
      <w:r w:rsidDel="00000000" w:rsidR="00000000" w:rsidRPr="00000000">
        <w:rPr>
          <w:b w:val="1"/>
          <w:bCs w:val="1"/>
          <w:rtl w:val="0"/>
        </w:rPr>
        <w:t xml:space="preserve">Lumina Bank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Misión de Lumina Bank:</w:t>
      </w:r>
      <w:r w:rsidDel="00000000" w:rsidR="00000000" w:rsidRPr="00000000">
        <w:rPr>
          <w:rtl w:val="0"/>
        </w:rPr>
        <w:t xml:space="preserve"> "Crear y operar un sistema financiero compartido único, eficiente, integrado y bajo demanda, aprovechando los activos combinados de las doce entidades financieras metropolitanas".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o0m02kukbz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Visión de Lumina Bank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de visión describe un sistema financiero dinámico que se adapta a las necesidades del cliente: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Banca Bajo Demanda y Sin Esfuerzo:</w:t>
      </w:r>
      <w:r w:rsidDel="00000000" w:rsidR="00000000" w:rsidRPr="00000000">
        <w:rPr>
          <w:rtl w:val="0"/>
        </w:rPr>
        <w:t xml:space="preserve"> Mediante un dispositivo móvil, un cliente puede gestionar sus finanzas desde cualquier punto. El sistema planifica sus inversiones y pagos de manera inteligente.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Optimización Financiera:</w:t>
      </w:r>
      <w:r w:rsidDel="00000000" w:rsidR="00000000" w:rsidRPr="00000000">
        <w:rPr>
          <w:rtl w:val="0"/>
        </w:rPr>
        <w:t xml:space="preserve"> El sistema llevará al usuario a maximizar su rentabilidad de la manera más segura y rápida posible, guiándolo en cada decisión de gasto o inversión.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Integración Multicanal:</w:t>
      </w:r>
      <w:r w:rsidDel="00000000" w:rsidR="00000000" w:rsidRPr="00000000">
        <w:rPr>
          <w:rtl w:val="0"/>
        </w:rPr>
        <w:t xml:space="preserve"> El sistema integrado incluirá banca móvil, cajeros, corresponsales bancarios, asesores virtuales e incluso micro-créditos en tiempo real.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Servicios Multimodales Flexibles:</w:t>
      </w:r>
      <w:r w:rsidDel="00000000" w:rsidR="00000000" w:rsidRPr="00000000">
        <w:rPr>
          <w:rtl w:val="0"/>
        </w:rPr>
        <w:t xml:space="preserve"> Una operación puede incluir varios canales. Por ejemplo, iniciar una solicitud en la App, validarla en un cajero cercano y finalizarla con un asesor remoto.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Ventaja Competitiva:</w:t>
      </w:r>
      <w:r w:rsidDel="00000000" w:rsidR="00000000" w:rsidRPr="00000000">
        <w:rPr>
          <w:rtl w:val="0"/>
        </w:rPr>
        <w:t xml:space="preserve"> Los clientes optarán por Lumina porque será más rápido, seguro y económico que la banca tradicional.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Pago Integrado:</w:t>
      </w:r>
      <w:r w:rsidDel="00000000" w:rsidR="00000000" w:rsidRPr="00000000">
        <w:rPr>
          <w:rtl w:val="0"/>
        </w:rPr>
        <w:t xml:space="preserve"> Un sistema de pago móvil total. Al iniciar una compra, el sistema monitorea el flujo de fondos y aplica los cargos de manera inteligente según el saldo y las metas de ahorro del usuario.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1ml7cy7266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Modelo de Negocio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Lumina Bank opera como una </w:t>
      </w:r>
      <w:r w:rsidDel="00000000" w:rsidR="00000000" w:rsidRPr="00000000">
        <w:rPr>
          <w:b w:val="1"/>
          <w:bCs w:val="1"/>
          <w:rtl w:val="0"/>
        </w:rPr>
        <w:t xml:space="preserve">alianza público-privada</w:t>
      </w:r>
      <w:r w:rsidDel="00000000" w:rsidR="00000000" w:rsidRPr="00000000">
        <w:rPr>
          <w:rtl w:val="0"/>
        </w:rPr>
        <w:t xml:space="preserve"> única, colaborando con empresas de IoT financiero, sistemas distribuidos y Big Data.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RFP para el Front-End:</w:t>
      </w:r>
      <w:r w:rsidDel="00000000" w:rsidR="00000000" w:rsidRPr="00000000">
        <w:rPr>
          <w:rtl w:val="0"/>
        </w:rPr>
        <w:t xml:space="preserve"> Apps, interfaces de cajeros, biometría y seguimiento (ya seleccionada).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RFP para el Back-End Inteligente:</w:t>
      </w:r>
      <w:r w:rsidDel="00000000" w:rsidR="00000000" w:rsidRPr="00000000">
        <w:rPr>
          <w:rtl w:val="0"/>
        </w:rPr>
        <w:t xml:space="preserve"> Diseño de servicios de datos y aplicaciones que impulsarán el front-end y respaldarán la planificación de infraestructura financiera (objetivo de este taller).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Consideraciones:</w:t>
      </w:r>
      <w:r w:rsidDel="00000000" w:rsidR="00000000" w:rsidRPr="00000000">
        <w:rPr>
          <w:rtl w:val="0"/>
        </w:rPr>
        <w:t xml:space="preserve"> Tecnologías de </w:t>
      </w:r>
      <w:r w:rsidDel="00000000" w:rsidR="00000000" w:rsidRPr="00000000">
        <w:rPr>
          <w:b w:val="1"/>
          <w:bCs w:val="1"/>
          <w:rtl w:val="0"/>
        </w:rPr>
        <w:t xml:space="preserve">código abierto</w:t>
      </w:r>
      <w:r w:rsidDel="00000000" w:rsidR="00000000" w:rsidRPr="00000000">
        <w:rPr>
          <w:rtl w:val="0"/>
        </w:rPr>
        <w:t xml:space="preserve">. Lumina Bank es dueña de los datos; la empresa desarrolladora retiene la propiedad intelectual.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lrkxq5ynor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Servicios de Datos y Aplicaciones de Lumina Bank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recopilación y el análisis de datos son fundamentales. La arquitectura debe considerar: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fc956pmr5t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Decisiones en Tiempo Real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autorizar transacciones y detectar fraudes de manera óptima: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Solicitudes de transacciones activas de otros clientes.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Disponibilidad de fondos y límites en tiempo real.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Datos de geolocalización en vivo para prevenir fraudes.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Patrones de gasto aprendidos (históricos y predictivos).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dlbukha7m6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Planes Diarios de Liquidez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Predecir diariamente el efectivo y los recursos necesarios para el día siguiente: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Datos de mercados financieros actualizados.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Eventos futuros que influyan en la demanda de efectivo (festivos, ferias).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Tendencias de movilidad y gasto de los usuarios.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azlem4gahz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Informes Operativos Bajo Demanda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Métricas cruciales para evaluar el progreso: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Tiempos promedio de aprobación.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Costo operativo por transacción.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Ingresos por producto financiero.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Nivel de salud financiera del sistema vs. banca tradicional.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919esr52gn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Mantenimiento y Planificación de Infraestructura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Monitoreo continuo de la salud de servidores y terminales.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Análisis predictivo para identificar posibles caídas del sistema.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Identificación de rutas de alta congestión transaccional para proponer nuevas oficinas o nodos digitales.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qwjyilkvc9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Tarea para los Alumnos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alumnos de Big Data, deben diseñar una arquitectura de datos que soporte estos servicios considerando: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Fuentes de Datos:</w:t>
      </w:r>
      <w:r w:rsidDel="00000000" w:rsidR="00000000" w:rsidRPr="00000000">
        <w:rPr>
          <w:rtl w:val="0"/>
        </w:rPr>
        <w:t xml:space="preserve"> Clasificación de datos transaccionales, sociales y de comportamiento.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Ingesta de Datos:</w:t>
      </w:r>
      <w:r w:rsidDel="00000000" w:rsidR="00000000" w:rsidRPr="00000000">
        <w:rPr>
          <w:rtl w:val="0"/>
        </w:rPr>
        <w:t xml:space="preserve"> Mecanismos para streaming (transacciones) y batch (cierres contables).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Procesamiento:</w:t>
      </w:r>
      <w:r w:rsidDel="00000000" w:rsidR="00000000" w:rsidRPr="00000000">
        <w:rPr>
          <w:rtl w:val="0"/>
        </w:rPr>
        <w:t xml:space="preserve"> Pipelines para decisiones en tiempo real (detección de fraude) y análisis histórico.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Tecnologías para alta velocidad (InMemory) y gran volumen (Data Lake).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Seguridad y Gobernanza:</w:t>
      </w:r>
      <w:r w:rsidDel="00000000" w:rsidR="00000000" w:rsidRPr="00000000">
        <w:rPr>
          <w:rtl w:val="0"/>
        </w:rPr>
        <w:t xml:space="preserve"> Medidas críticas de encriptación y privacidad de datos sensibles.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Tecnologías de Código Abierto:</w:t>
      </w:r>
      <w:r w:rsidDel="00000000" w:rsidR="00000000" w:rsidRPr="00000000">
        <w:rPr>
          <w:rtl w:val="0"/>
        </w:rPr>
        <w:t xml:space="preserve"> Priorización de herramientas open source según el modelo de negocio.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Presentación de la arquitectura con diagramas claros y justificación tecnológica detallada e implementacion</w:t>
      </w:r>
    </w:p>
    <w:sectPr>
      <w:pgSz w:h="16834" w:w="11909" w:orient="portrait"/>
      <w:pgMar w:bottom="806.574803149607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tealthknight/paysi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