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B79E44A">
      <w:r w:rsidR="4B253AA3">
        <w:rPr/>
        <w:t>Why low benefits engagement?</w:t>
      </w:r>
      <w:r>
        <w:br/>
      </w:r>
    </w:p>
    <w:p w:rsidR="716F84BB" w:rsidP="158A7964" w:rsidRDefault="716F84BB" w14:paraId="663AFDB2" w14:textId="58A63578">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Recent research and reporting highlight several key insights into why employers continue to struggle with raising awareness and utilization of employee benefits portfolios:</w:t>
      </w:r>
    </w:p>
    <w:p w:rsidR="716F84BB" w:rsidP="158A7964" w:rsidRDefault="716F84BB" w14:paraId="5475262F" w14:textId="5F74422A">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1. Low Benefits Understanding and Engagement</w:t>
      </w:r>
    </w:p>
    <w:p w:rsidR="716F84BB" w:rsidP="158A7964" w:rsidRDefault="716F84BB" w14:paraId="73338853" w14:textId="6A5E60BD">
      <w:pPr>
        <w:pStyle w:val="ListParagraph"/>
        <w:numPr>
          <w:ilvl w:val="0"/>
          <w:numId w:val="1"/>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Nearly half of employees (45%) do not fully understand their benefits package, and only 38% are completely confident in knowing all the benefits available to them</w:t>
      </w:r>
      <w:hyperlink r:id="Rf77dc733681f48c6">
        <w:r w:rsidRPr="158A7964" w:rsidR="716F84BB">
          <w:rPr>
            <w:rStyle w:val="Hyperlink"/>
            <w:rFonts w:ascii="system-ui" w:hAnsi="system-ui" w:eastAsia="system-ui" w:cs="system-ui"/>
            <w:b w:val="0"/>
            <w:bCs w:val="0"/>
            <w:i w:val="0"/>
            <w:iCs w:val="0"/>
            <w:caps w:val="0"/>
            <w:smallCaps w:val="0"/>
            <w:noProof w:val="0"/>
            <w:sz w:val="24"/>
            <w:szCs w:val="24"/>
            <w:lang w:val="en-US"/>
          </w:rPr>
          <w:t>2</w:t>
        </w:r>
      </w:hyperlink>
      <w:r w:rsidRPr="158A7964" w:rsidR="716F84BB">
        <w:rPr>
          <w:rFonts w:ascii="system-ui" w:hAnsi="system-ui" w:eastAsia="system-ui" w:cs="system-ui"/>
          <w:b w:val="0"/>
          <w:bCs w:val="0"/>
          <w:i w:val="0"/>
          <w:iCs w:val="0"/>
          <w:caps w:val="0"/>
          <w:smallCaps w:val="0"/>
          <w:noProof w:val="0"/>
          <w:sz w:val="24"/>
          <w:szCs w:val="24"/>
          <w:lang w:val="en-US"/>
        </w:rPr>
        <w:t>. This lack of understanding directly correlates with lower utilization, especially for non-core offerings like financial wellness tools</w:t>
      </w:r>
      <w:hyperlink r:id="R84ef2ba0ec2148b4">
        <w:r w:rsidRPr="158A7964" w:rsidR="716F84BB">
          <w:rPr>
            <w:rStyle w:val="Hyperlink"/>
            <w:rFonts w:ascii="system-ui" w:hAnsi="system-ui" w:eastAsia="system-ui" w:cs="system-ui"/>
            <w:b w:val="0"/>
            <w:bCs w:val="0"/>
            <w:i w:val="0"/>
            <w:iCs w:val="0"/>
            <w:caps w:val="0"/>
            <w:smallCaps w:val="0"/>
            <w:strike w:val="0"/>
            <w:dstrike w:val="0"/>
            <w:noProof w:val="0"/>
            <w:sz w:val="24"/>
            <w:szCs w:val="24"/>
            <w:u w:val="none"/>
            <w:lang w:val="en-US"/>
          </w:rPr>
          <w:t>2</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1ABAAA4A" w14:textId="0E2D6A0B">
      <w:pPr>
        <w:pStyle w:val="ListParagraph"/>
        <w:numPr>
          <w:ilvl w:val="0"/>
          <w:numId w:val="1"/>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Employees who better understand their benefits are 16% more likely to be engaged at work, and half say improved benefits communication would make them feel more cared for by their employer</w:t>
      </w:r>
      <w:hyperlink r:id="Rebf480ea53ec4dad">
        <w:r w:rsidRPr="158A7964" w:rsidR="716F84BB">
          <w:rPr>
            <w:rStyle w:val="Hyperlink"/>
            <w:rFonts w:ascii="system-ui" w:hAnsi="system-ui" w:eastAsia="system-ui" w:cs="system-ui"/>
            <w:b w:val="0"/>
            <w:bCs w:val="0"/>
            <w:i w:val="0"/>
            <w:iCs w:val="0"/>
            <w:caps w:val="0"/>
            <w:smallCaps w:val="0"/>
            <w:noProof w:val="0"/>
            <w:sz w:val="24"/>
            <w:szCs w:val="24"/>
            <w:lang w:val="en-US"/>
          </w:rPr>
          <w:t>2</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082B6DFA" w14:textId="6898434C">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2. Communication Gaps</w:t>
      </w:r>
    </w:p>
    <w:p w:rsidR="716F84BB" w:rsidP="158A7964" w:rsidRDefault="716F84BB" w14:paraId="51D7DA41" w14:textId="41214E60">
      <w:pPr>
        <w:pStyle w:val="ListParagraph"/>
        <w:numPr>
          <w:ilvl w:val="0"/>
          <w:numId w:val="2"/>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Traditional, once-a-year communication around open enrollment is insufficient. Year-round, targeted, and easy-to-understand communications are increasingly seen as essential for boosting both awareness and usage</w:t>
      </w:r>
      <w:hyperlink r:id="Rc1436ca5b9f24702">
        <w:r w:rsidRPr="158A7964" w:rsidR="716F84BB">
          <w:rPr>
            <w:rStyle w:val="Hyperlink"/>
            <w:rFonts w:ascii="system-ui" w:hAnsi="system-ui" w:eastAsia="system-ui" w:cs="system-ui"/>
            <w:b w:val="0"/>
            <w:bCs w:val="0"/>
            <w:i w:val="0"/>
            <w:iCs w:val="0"/>
            <w:caps w:val="0"/>
            <w:smallCaps w:val="0"/>
            <w:noProof w:val="0"/>
            <w:sz w:val="24"/>
            <w:szCs w:val="24"/>
            <w:lang w:val="en-US"/>
          </w:rPr>
          <w:t>2</w:t>
        </w:r>
      </w:hyperlink>
      <w:hyperlink r:id="Recb4b876041d4936">
        <w:r w:rsidRPr="158A7964" w:rsidR="716F84BB">
          <w:rPr>
            <w:rStyle w:val="Hyperlink"/>
            <w:rFonts w:ascii="system-ui" w:hAnsi="system-ui" w:eastAsia="system-ui" w:cs="system-ui"/>
            <w:b w:val="0"/>
            <w:bCs w:val="0"/>
            <w:i w:val="0"/>
            <w:iCs w:val="0"/>
            <w:caps w:val="0"/>
            <w:smallCaps w:val="0"/>
            <w:strike w:val="0"/>
            <w:dstrike w:val="0"/>
            <w:noProof w:val="0"/>
            <w:sz w:val="24"/>
            <w:szCs w:val="24"/>
            <w:u w:val="none"/>
            <w:lang w:val="en-US"/>
          </w:rPr>
          <w:t>7</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2F80C6F7" w14:textId="14D7B45A">
      <w:pPr>
        <w:pStyle w:val="ListParagraph"/>
        <w:numPr>
          <w:ilvl w:val="0"/>
          <w:numId w:val="2"/>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Borrowing strategies from consumer marketing—such as tailoring messages by demographic and using multiple channels—can significantly improve engagement</w:t>
      </w:r>
      <w:hyperlink r:id="Re6a99a23f8114900">
        <w:r w:rsidRPr="158A7964" w:rsidR="716F84BB">
          <w:rPr>
            <w:rStyle w:val="Hyperlink"/>
            <w:rFonts w:ascii="system-ui" w:hAnsi="system-ui" w:eastAsia="system-ui" w:cs="system-ui"/>
            <w:b w:val="0"/>
            <w:bCs w:val="0"/>
            <w:i w:val="0"/>
            <w:iCs w:val="0"/>
            <w:caps w:val="0"/>
            <w:smallCaps w:val="0"/>
            <w:noProof w:val="0"/>
            <w:sz w:val="24"/>
            <w:szCs w:val="24"/>
            <w:lang w:val="en-US"/>
          </w:rPr>
          <w:t>7</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14BFDA0E" w14:textId="74264D10">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3. Multi-Generational and Diverse Workforce Needs</w:t>
      </w:r>
    </w:p>
    <w:p w:rsidR="716F84BB" w:rsidP="158A7964" w:rsidRDefault="716F84BB" w14:paraId="579823EC" w14:textId="2BC7C1E8">
      <w:pPr>
        <w:pStyle w:val="ListParagraph"/>
        <w:numPr>
          <w:ilvl w:val="0"/>
          <w:numId w:val="3"/>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Employees’ benefit preferences vary widely by generation: Gen Z and Millennials often seek non-traditional benefits (e.g., legal services, pet insurance), while Gen X and Boomers prioritize traditional health insurance</w:t>
      </w:r>
      <w:hyperlink r:id="R91f885a1c2344ed9">
        <w:r w:rsidRPr="158A7964" w:rsidR="716F84BB">
          <w:rPr>
            <w:rStyle w:val="Hyperlink"/>
            <w:rFonts w:ascii="system-ui" w:hAnsi="system-ui" w:eastAsia="system-ui" w:cs="system-ui"/>
            <w:b w:val="0"/>
            <w:bCs w:val="0"/>
            <w:i w:val="0"/>
            <w:iCs w:val="0"/>
            <w:caps w:val="0"/>
            <w:smallCaps w:val="0"/>
            <w:noProof w:val="0"/>
            <w:sz w:val="24"/>
            <w:szCs w:val="24"/>
            <w:lang w:val="en-US"/>
          </w:rPr>
          <w:t>2</w:t>
        </w:r>
      </w:hyperlink>
      <w:hyperlink r:id="Rd42aea0f67fd4a22">
        <w:r w:rsidRPr="158A7964" w:rsidR="716F84BB">
          <w:rPr>
            <w:rStyle w:val="Hyperlink"/>
            <w:rFonts w:ascii="system-ui" w:hAnsi="system-ui" w:eastAsia="system-ui" w:cs="system-ui"/>
            <w:b w:val="0"/>
            <w:bCs w:val="0"/>
            <w:i w:val="0"/>
            <w:iCs w:val="0"/>
            <w:caps w:val="0"/>
            <w:smallCaps w:val="0"/>
            <w:strike w:val="0"/>
            <w:dstrike w:val="0"/>
            <w:noProof w:val="0"/>
            <w:sz w:val="24"/>
            <w:szCs w:val="24"/>
            <w:u w:val="none"/>
            <w:lang w:val="en-US"/>
          </w:rPr>
          <w:t>5</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04000238" w14:textId="1F60E885">
      <w:pPr>
        <w:pStyle w:val="ListParagraph"/>
        <w:numPr>
          <w:ilvl w:val="0"/>
          <w:numId w:val="3"/>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Over half of employees (54%) wish for personalized benefits recommendations, indicating a desire for more tailored options and communications</w:t>
      </w:r>
      <w:hyperlink r:id="R361c8fb787de4b66">
        <w:r w:rsidRPr="158A7964" w:rsidR="716F84BB">
          <w:rPr>
            <w:rStyle w:val="Hyperlink"/>
            <w:rFonts w:ascii="system-ui" w:hAnsi="system-ui" w:eastAsia="system-ui" w:cs="system-ui"/>
            <w:b w:val="0"/>
            <w:bCs w:val="0"/>
            <w:i w:val="0"/>
            <w:iCs w:val="0"/>
            <w:caps w:val="0"/>
            <w:smallCaps w:val="0"/>
            <w:noProof w:val="0"/>
            <w:sz w:val="24"/>
            <w:szCs w:val="24"/>
            <w:lang w:val="en-US"/>
          </w:rPr>
          <w:t>2</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0392BC1E" w14:textId="78699DC0">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4. Technology Adoption and Digital Divide</w:t>
      </w:r>
    </w:p>
    <w:p w:rsidR="716F84BB" w:rsidP="158A7964" w:rsidRDefault="716F84BB" w14:paraId="3720EA7B" w14:textId="5BAC3743">
      <w:pPr>
        <w:pStyle w:val="ListParagraph"/>
        <w:numPr>
          <w:ilvl w:val="0"/>
          <w:numId w:val="4"/>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Digital HR platforms and benefits portals have made access easier, but adoption challenges persist. Not all employees are equally comfortable with digital tools, and user-friendliness, integration, and data security remain concerns</w:t>
      </w:r>
      <w:hyperlink r:id="Rebdcfb3f80124757">
        <w:r w:rsidRPr="158A7964" w:rsidR="716F84BB">
          <w:rPr>
            <w:rStyle w:val="Hyperlink"/>
            <w:rFonts w:ascii="system-ui" w:hAnsi="system-ui" w:eastAsia="system-ui" w:cs="system-ui"/>
            <w:b w:val="0"/>
            <w:bCs w:val="0"/>
            <w:i w:val="0"/>
            <w:iCs w:val="0"/>
            <w:caps w:val="0"/>
            <w:smallCaps w:val="0"/>
            <w:noProof w:val="0"/>
            <w:sz w:val="24"/>
            <w:szCs w:val="24"/>
            <w:lang w:val="en-US"/>
          </w:rPr>
          <w:t>1</w:t>
        </w:r>
      </w:hyperlink>
      <w:hyperlink r:id="R4b70a5c6ee9c469a">
        <w:r w:rsidRPr="158A7964" w:rsidR="716F84BB">
          <w:rPr>
            <w:rStyle w:val="Hyperlink"/>
            <w:rFonts w:ascii="system-ui" w:hAnsi="system-ui" w:eastAsia="system-ui" w:cs="system-ui"/>
            <w:b w:val="0"/>
            <w:bCs w:val="0"/>
            <w:i w:val="0"/>
            <w:iCs w:val="0"/>
            <w:caps w:val="0"/>
            <w:smallCaps w:val="0"/>
            <w:strike w:val="0"/>
            <w:dstrike w:val="0"/>
            <w:noProof w:val="0"/>
            <w:sz w:val="24"/>
            <w:szCs w:val="24"/>
            <w:u w:val="none"/>
            <w:lang w:val="en-US"/>
          </w:rPr>
          <w:t>5</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31E225E5" w14:textId="0E61E1B8">
      <w:pPr>
        <w:pStyle w:val="ListParagraph"/>
        <w:numPr>
          <w:ilvl w:val="0"/>
          <w:numId w:val="4"/>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Employers must bridge the gap between tech-savvy and less digitally literate employees to ensure equitable access</w:t>
      </w:r>
      <w:hyperlink r:id="Raf31bf4fe1d749b2">
        <w:r w:rsidRPr="158A7964" w:rsidR="716F84BB">
          <w:rPr>
            <w:rStyle w:val="Hyperlink"/>
            <w:rFonts w:ascii="system-ui" w:hAnsi="system-ui" w:eastAsia="system-ui" w:cs="system-ui"/>
            <w:b w:val="0"/>
            <w:bCs w:val="0"/>
            <w:i w:val="0"/>
            <w:iCs w:val="0"/>
            <w:caps w:val="0"/>
            <w:smallCaps w:val="0"/>
            <w:noProof w:val="0"/>
            <w:sz w:val="24"/>
            <w:szCs w:val="24"/>
            <w:lang w:val="en-US"/>
          </w:rPr>
          <w:t>1</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5E18711C" w14:textId="5EB7ED96">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5. Always-On Education and Personalization</w:t>
      </w:r>
    </w:p>
    <w:p w:rsidR="716F84BB" w:rsidP="158A7964" w:rsidRDefault="716F84BB" w14:paraId="3C00E7A1" w14:textId="26293C4B">
      <w:pPr>
        <w:pStyle w:val="ListParagraph"/>
        <w:numPr>
          <w:ilvl w:val="0"/>
          <w:numId w:val="5"/>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An “always-on” communication plan with audience-specific education touchpoints is critical. Sixty percent of employees who regret their benefits choices cite lack of understanding and information as the main reason</w:t>
      </w:r>
      <w:hyperlink r:id="Rda2ade9bb7534a04">
        <w:r w:rsidRPr="158A7964" w:rsidR="716F84BB">
          <w:rPr>
            <w:rStyle w:val="Hyperlink"/>
            <w:rFonts w:ascii="system-ui" w:hAnsi="system-ui" w:eastAsia="system-ui" w:cs="system-ui"/>
            <w:b w:val="0"/>
            <w:bCs w:val="0"/>
            <w:i w:val="0"/>
            <w:iCs w:val="0"/>
            <w:caps w:val="0"/>
            <w:smallCaps w:val="0"/>
            <w:noProof w:val="0"/>
            <w:sz w:val="24"/>
            <w:szCs w:val="24"/>
            <w:lang w:val="en-US"/>
          </w:rPr>
          <w:t>2</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56240EE3" w14:textId="4479C7EB">
      <w:pPr>
        <w:pStyle w:val="ListParagraph"/>
        <w:numPr>
          <w:ilvl w:val="0"/>
          <w:numId w:val="5"/>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Continuous feedback and analytics are needed to keep benefits offerings relevant and ensure they are meeting evolving employee needs</w:t>
      </w:r>
      <w:hyperlink r:id="R8dd6aa28745b4c53">
        <w:r w:rsidRPr="158A7964" w:rsidR="716F84BB">
          <w:rPr>
            <w:rStyle w:val="Hyperlink"/>
            <w:rFonts w:ascii="system-ui" w:hAnsi="system-ui" w:eastAsia="system-ui" w:cs="system-ui"/>
            <w:b w:val="0"/>
            <w:bCs w:val="0"/>
            <w:i w:val="0"/>
            <w:iCs w:val="0"/>
            <w:caps w:val="0"/>
            <w:smallCaps w:val="0"/>
            <w:noProof w:val="0"/>
            <w:sz w:val="24"/>
            <w:szCs w:val="24"/>
            <w:lang w:val="en-US"/>
          </w:rPr>
          <w:t>4</w:t>
        </w:r>
      </w:hyperlink>
      <w:hyperlink r:id="R823fc3bebf164fb5">
        <w:r w:rsidRPr="158A7964" w:rsidR="716F84BB">
          <w:rPr>
            <w:rStyle w:val="Hyperlink"/>
            <w:rFonts w:ascii="system-ui" w:hAnsi="system-ui" w:eastAsia="system-ui" w:cs="system-ui"/>
            <w:b w:val="0"/>
            <w:bCs w:val="0"/>
            <w:i w:val="0"/>
            <w:iCs w:val="0"/>
            <w:caps w:val="0"/>
            <w:smallCaps w:val="0"/>
            <w:strike w:val="0"/>
            <w:dstrike w:val="0"/>
            <w:noProof w:val="0"/>
            <w:sz w:val="24"/>
            <w:szCs w:val="24"/>
            <w:u w:val="none"/>
            <w:lang w:val="en-US"/>
          </w:rPr>
          <w:t>7</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5444047A" w14:textId="7BC48F99">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6. Integration and Seamless Experience</w:t>
      </w:r>
    </w:p>
    <w:p w:rsidR="716F84BB" w:rsidP="158A7964" w:rsidRDefault="716F84BB" w14:paraId="2F15AAAA" w14:textId="47A05683">
      <w:pPr>
        <w:pStyle w:val="ListParagraph"/>
        <w:numPr>
          <w:ilvl w:val="0"/>
          <w:numId w:val="6"/>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Integrating wellness, absence, and traditional benefits—so that, for example, a leave of absence triggers awareness of related wellness resources—can increase utilization at pivotal life moments</w:t>
      </w:r>
      <w:hyperlink r:id="R6543589a132540c8">
        <w:r w:rsidRPr="158A7964" w:rsidR="716F84BB">
          <w:rPr>
            <w:rStyle w:val="Hyperlink"/>
            <w:rFonts w:ascii="system-ui" w:hAnsi="system-ui" w:eastAsia="system-ui" w:cs="system-ui"/>
            <w:b w:val="0"/>
            <w:bCs w:val="0"/>
            <w:i w:val="0"/>
            <w:iCs w:val="0"/>
            <w:caps w:val="0"/>
            <w:smallCaps w:val="0"/>
            <w:noProof w:val="0"/>
            <w:sz w:val="24"/>
            <w:szCs w:val="24"/>
            <w:lang w:val="en-US"/>
          </w:rPr>
          <w:t>7</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2EA692AF" w14:textId="19CFE267">
      <w:pPr>
        <w:pStyle w:val="ListParagraph"/>
        <w:numPr>
          <w:ilvl w:val="0"/>
          <w:numId w:val="6"/>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A seamless, integrated approach helps employees better understand and activate benefits when they need them most</w:t>
      </w:r>
      <w:hyperlink r:id="R69714701e5314b43">
        <w:r w:rsidRPr="158A7964" w:rsidR="716F84BB">
          <w:rPr>
            <w:rStyle w:val="Hyperlink"/>
            <w:rFonts w:ascii="system-ui" w:hAnsi="system-ui" w:eastAsia="system-ui" w:cs="system-ui"/>
            <w:b w:val="0"/>
            <w:bCs w:val="0"/>
            <w:i w:val="0"/>
            <w:iCs w:val="0"/>
            <w:caps w:val="0"/>
            <w:smallCaps w:val="0"/>
            <w:noProof w:val="0"/>
            <w:sz w:val="24"/>
            <w:szCs w:val="24"/>
            <w:lang w:val="en-US"/>
          </w:rPr>
          <w:t>7</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35D9DB40" w14:textId="2EFF01E5">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7. Cost Management and Value Communication</w:t>
      </w:r>
    </w:p>
    <w:p w:rsidR="716F84BB" w:rsidP="158A7964" w:rsidRDefault="716F84BB" w14:paraId="4D37D8B4" w14:textId="1F18A066">
      <w:pPr>
        <w:pStyle w:val="ListParagraph"/>
        <w:numPr>
          <w:ilvl w:val="0"/>
          <w:numId w:val="7"/>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158A7964" w:rsidR="716F84BB">
        <w:rPr>
          <w:rFonts w:ascii="system-ui" w:hAnsi="system-ui" w:eastAsia="system-ui" w:cs="system-ui"/>
          <w:b w:val="0"/>
          <w:bCs w:val="0"/>
          <w:i w:val="0"/>
          <w:iCs w:val="0"/>
          <w:caps w:val="0"/>
          <w:smallCaps w:val="0"/>
          <w:noProof w:val="0"/>
          <w:sz w:val="24"/>
          <w:szCs w:val="24"/>
          <w:lang w:val="en-US"/>
        </w:rPr>
        <w:t>As benefits become more comprehensive and costs rise, employers must clearly communicate the value of each offering and consider innovative, flexible funding models to address diverse employee preferences</w:t>
      </w:r>
      <w:hyperlink r:id="R05e248ea7bb9462a">
        <w:r w:rsidRPr="158A7964" w:rsidR="716F84BB">
          <w:rPr>
            <w:rStyle w:val="Hyperlink"/>
            <w:rFonts w:ascii="system-ui" w:hAnsi="system-ui" w:eastAsia="system-ui" w:cs="system-ui"/>
            <w:b w:val="0"/>
            <w:bCs w:val="0"/>
            <w:i w:val="0"/>
            <w:iCs w:val="0"/>
            <w:caps w:val="0"/>
            <w:smallCaps w:val="0"/>
            <w:noProof w:val="0"/>
            <w:sz w:val="24"/>
            <w:szCs w:val="24"/>
            <w:lang w:val="en-US"/>
          </w:rPr>
          <w:t>5</w:t>
        </w:r>
      </w:hyperlink>
      <w:hyperlink r:id="R0b3a28ba8d9b4405">
        <w:r w:rsidRPr="158A7964" w:rsidR="716F84BB">
          <w:rPr>
            <w:rStyle w:val="Hyperlink"/>
            <w:rFonts w:ascii="system-ui" w:hAnsi="system-ui" w:eastAsia="system-ui" w:cs="system-ui"/>
            <w:b w:val="0"/>
            <w:bCs w:val="0"/>
            <w:i w:val="0"/>
            <w:iCs w:val="0"/>
            <w:caps w:val="0"/>
            <w:smallCaps w:val="0"/>
            <w:strike w:val="0"/>
            <w:dstrike w:val="0"/>
            <w:noProof w:val="0"/>
            <w:sz w:val="24"/>
            <w:szCs w:val="24"/>
            <w:u w:val="none"/>
            <w:lang w:val="en-US"/>
          </w:rPr>
          <w:t>3</w:t>
        </w:r>
      </w:hyperlink>
      <w:r w:rsidRPr="158A7964" w:rsidR="716F84BB">
        <w:rPr>
          <w:rFonts w:ascii="system-ui" w:hAnsi="system-ui" w:eastAsia="system-ui" w:cs="system-ui"/>
          <w:b w:val="0"/>
          <w:bCs w:val="0"/>
          <w:i w:val="0"/>
          <w:iCs w:val="0"/>
          <w:caps w:val="0"/>
          <w:smallCaps w:val="0"/>
          <w:noProof w:val="0"/>
          <w:sz w:val="24"/>
          <w:szCs w:val="24"/>
          <w:lang w:val="en-US"/>
        </w:rPr>
        <w:t>.</w:t>
      </w:r>
    </w:p>
    <w:p w:rsidR="716F84BB" w:rsidP="158A7964" w:rsidRDefault="716F84BB" w14:paraId="4892BAE8" w14:textId="134F123D">
      <w:pPr>
        <w:spacing w:before="0" w:beforeAutospacing="off" w:after="0" w:afterAutospacing="off"/>
      </w:pPr>
      <w:r w:rsidRPr="158A7964" w:rsidR="716F84BB">
        <w:rPr>
          <w:rFonts w:ascii="system-ui" w:hAnsi="system-ui" w:eastAsia="system-ui" w:cs="system-ui"/>
          <w:b w:val="0"/>
          <w:bCs w:val="0"/>
          <w:i w:val="0"/>
          <w:iCs w:val="0"/>
          <w:caps w:val="0"/>
          <w:smallCaps w:val="0"/>
          <w:noProof w:val="0"/>
          <w:sz w:val="24"/>
          <w:szCs w:val="24"/>
          <w:lang w:val="en-US"/>
        </w:rPr>
        <w:t>In summary, the main barriers to high awareness and utilization are lack of understanding, insufficient and poorly targeted communication, generational and cultural differences, technology adoption gaps, and the need for ongoing education and personalization. Addressing these challenges with continuous, tailored communication, integrated tech solutions, and data-driven personalization is critical for employers seeking to maximize the impact of their benefits investments</w:t>
      </w:r>
      <w:hyperlink r:id="R8cb49d42d18646f5">
        <w:r w:rsidRPr="158A7964" w:rsidR="716F84BB">
          <w:rPr>
            <w:rStyle w:val="Hyperlink"/>
            <w:rFonts w:ascii="system-ui" w:hAnsi="system-ui" w:eastAsia="system-ui" w:cs="system-ui"/>
            <w:b w:val="0"/>
            <w:bCs w:val="0"/>
            <w:i w:val="0"/>
            <w:iCs w:val="0"/>
            <w:caps w:val="0"/>
            <w:smallCaps w:val="0"/>
            <w:noProof w:val="0"/>
            <w:sz w:val="24"/>
            <w:szCs w:val="24"/>
            <w:lang w:val="en-US"/>
          </w:rPr>
          <w:t>1</w:t>
        </w:r>
      </w:hyperlink>
      <w:hyperlink r:id="Rcad92ef6fbeb4353">
        <w:r w:rsidRPr="158A7964" w:rsidR="716F84BB">
          <w:rPr>
            <w:rStyle w:val="Hyperlink"/>
            <w:rFonts w:ascii="system-ui" w:hAnsi="system-ui" w:eastAsia="system-ui" w:cs="system-ui"/>
            <w:b w:val="0"/>
            <w:bCs w:val="0"/>
            <w:i w:val="0"/>
            <w:iCs w:val="0"/>
            <w:caps w:val="0"/>
            <w:smallCaps w:val="0"/>
            <w:strike w:val="0"/>
            <w:dstrike w:val="0"/>
            <w:noProof w:val="0"/>
            <w:sz w:val="24"/>
            <w:szCs w:val="24"/>
            <w:u w:val="none"/>
            <w:lang w:val="en-US"/>
          </w:rPr>
          <w:t>2</w:t>
        </w:r>
      </w:hyperlink>
      <w:hyperlink r:id="Rc40702b0bda646d9">
        <w:r w:rsidRPr="158A7964" w:rsidR="716F84BB">
          <w:rPr>
            <w:rStyle w:val="Hyperlink"/>
            <w:rFonts w:ascii="system-ui" w:hAnsi="system-ui" w:eastAsia="system-ui" w:cs="system-ui"/>
            <w:b w:val="0"/>
            <w:bCs w:val="0"/>
            <w:i w:val="0"/>
            <w:iCs w:val="0"/>
            <w:caps w:val="0"/>
            <w:smallCaps w:val="0"/>
            <w:strike w:val="0"/>
            <w:dstrike w:val="0"/>
            <w:noProof w:val="0"/>
            <w:sz w:val="24"/>
            <w:szCs w:val="24"/>
            <w:u w:val="none"/>
            <w:lang w:val="en-US"/>
          </w:rPr>
          <w:t>7</w:t>
        </w:r>
      </w:hyperlink>
      <w:r w:rsidRPr="158A7964" w:rsidR="716F84BB">
        <w:rPr>
          <w:rFonts w:ascii="system-ui" w:hAnsi="system-ui" w:eastAsia="system-ui" w:cs="system-ui"/>
          <w:b w:val="0"/>
          <w:bCs w:val="0"/>
          <w:i w:val="0"/>
          <w:iCs w:val="0"/>
          <w:caps w:val="0"/>
          <w:smallCaps w:val="0"/>
          <w:noProof w:val="0"/>
          <w:sz w:val="24"/>
          <w:szCs w:val="24"/>
          <w:lang w:val="en-US"/>
        </w:rPr>
        <w:t>.</w:t>
      </w:r>
    </w:p>
    <w:p w:rsidR="158A7964" w:rsidRDefault="158A7964" w14:paraId="21A7E2F7" w14:textId="1B359D3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cce5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06b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4d5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3bf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9d5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986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150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BEC648"/>
    <w:rsid w:val="158A7964"/>
    <w:rsid w:val="4B253AA3"/>
    <w:rsid w:val="716F84BB"/>
    <w:rsid w:val="73BEC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C648"/>
  <w15:chartTrackingRefBased/>
  <w15:docId w15:val="{A297414C-D231-433E-959D-170407A3F0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58A7964"/>
    <w:pPr>
      <w:spacing/>
      <w:ind w:left="720"/>
      <w:contextualSpacing/>
    </w:pPr>
  </w:style>
  <w:style w:type="character" w:styleId="Hyperlink">
    <w:uiPriority w:val="99"/>
    <w:name w:val="Hyperlink"/>
    <w:basedOn w:val="DefaultParagraphFont"/>
    <w:unhideWhenUsed/>
    <w:rsid w:val="158A796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etlife.com/workforce-insights/boosting-benefits-understanding-and-use/" TargetMode="External" Id="Rf77dc733681f48c6" /><Relationship Type="http://schemas.openxmlformats.org/officeDocument/2006/relationships/hyperlink" Target="https://www.metlife.com/workforce-insights/boosting-benefits-understanding-and-use/" TargetMode="External" Id="R84ef2ba0ec2148b4" /><Relationship Type="http://schemas.openxmlformats.org/officeDocument/2006/relationships/hyperlink" Target="https://www.metlife.com/workforce-insights/boosting-benefits-understanding-and-use/" TargetMode="External" Id="Rebf480ea53ec4dad" /><Relationship Type="http://schemas.openxmlformats.org/officeDocument/2006/relationships/hyperlink" Target="https://www.metlife.com/workforce-insights/boosting-benefits-understanding-and-use/" TargetMode="External" Id="Rc1436ca5b9f24702" /><Relationship Type="http://schemas.openxmlformats.org/officeDocument/2006/relationships/hyperlink" Target="https://www.guardianlife.com/employee-benefits-trends-to-watch-2025" TargetMode="External" Id="Recb4b876041d4936" /><Relationship Type="http://schemas.openxmlformats.org/officeDocument/2006/relationships/hyperlink" Target="https://www.guardianlife.com/employee-benefits-trends-to-watch-2025" TargetMode="External" Id="Re6a99a23f8114900" /><Relationship Type="http://schemas.openxmlformats.org/officeDocument/2006/relationships/hyperlink" Target="https://www.metlife.com/workforce-insights/boosting-benefits-understanding-and-use/" TargetMode="External" Id="R91f885a1c2344ed9" /><Relationship Type="http://schemas.openxmlformats.org/officeDocument/2006/relationships/hyperlink" Target="https://benely.com/the-outlook-of-employee-benefits-in-2025-trends-challenges-and-innovations/" TargetMode="External" Id="Rd42aea0f67fd4a22" /><Relationship Type="http://schemas.openxmlformats.org/officeDocument/2006/relationships/hyperlink" Target="https://www.metlife.com/workforce-insights/boosting-benefits-understanding-and-use/" TargetMode="External" Id="R361c8fb787de4b66" /><Relationship Type="http://schemas.openxmlformats.org/officeDocument/2006/relationships/hyperlink" Target="https://blog.bestfitpeo.com/employee-benefits-trends-in-2025-challenges-opportunities-and-the-role-of-peos" TargetMode="External" Id="Rebdcfb3f80124757" /><Relationship Type="http://schemas.openxmlformats.org/officeDocument/2006/relationships/hyperlink" Target="https://benely.com/the-outlook-of-employee-benefits-in-2025-trends-challenges-and-innovations/" TargetMode="External" Id="R4b70a5c6ee9c469a" /><Relationship Type="http://schemas.openxmlformats.org/officeDocument/2006/relationships/hyperlink" Target="https://blog.bestfitpeo.com/employee-benefits-trends-in-2025-challenges-opportunities-and-the-role-of-peos" TargetMode="External" Id="Raf31bf4fe1d749b2" /><Relationship Type="http://schemas.openxmlformats.org/officeDocument/2006/relationships/hyperlink" Target="https://www.metlife.com/workforce-insights/boosting-benefits-understanding-and-use/" TargetMode="External" Id="Rda2ade9bb7534a04" /><Relationship Type="http://schemas.openxmlformats.org/officeDocument/2006/relationships/hyperlink" Target="https://www.mercer.com/insights/total-rewards/employee-benefits-strategy/" TargetMode="External" Id="R8dd6aa28745b4c53" /><Relationship Type="http://schemas.openxmlformats.org/officeDocument/2006/relationships/hyperlink" Target="https://www.guardianlife.com/employee-benefits-trends-to-watch-2025" TargetMode="External" Id="R823fc3bebf164fb5" /><Relationship Type="http://schemas.openxmlformats.org/officeDocument/2006/relationships/hyperlink" Target="https://www.guardianlife.com/employee-benefits-trends-to-watch-2025" TargetMode="External" Id="R6543589a132540c8" /><Relationship Type="http://schemas.openxmlformats.org/officeDocument/2006/relationships/hyperlink" Target="https://www.guardianlife.com/employee-benefits-trends-to-watch-2025" TargetMode="External" Id="R69714701e5314b43" /><Relationship Type="http://schemas.openxmlformats.org/officeDocument/2006/relationships/hyperlink" Target="https://benely.com/the-outlook-of-employee-benefits-in-2025-trends-challenges-and-innovations/" TargetMode="External" Id="R05e248ea7bb9462a" /><Relationship Type="http://schemas.openxmlformats.org/officeDocument/2006/relationships/hyperlink" Target="https://www.mercer.com/en-gb/insights/employee-health-and-benefits/reward-and-benefits/four-employee-benefits-challenges-to-tackle-in-2025/" TargetMode="External" Id="R0b3a28ba8d9b4405" /><Relationship Type="http://schemas.openxmlformats.org/officeDocument/2006/relationships/hyperlink" Target="https://blog.bestfitpeo.com/employee-benefits-trends-in-2025-challenges-opportunities-and-the-role-of-peos" TargetMode="External" Id="R8cb49d42d18646f5" /><Relationship Type="http://schemas.openxmlformats.org/officeDocument/2006/relationships/hyperlink" Target="https://www.metlife.com/workforce-insights/boosting-benefits-understanding-and-use/" TargetMode="External" Id="Rcad92ef6fbeb4353" /><Relationship Type="http://schemas.openxmlformats.org/officeDocument/2006/relationships/hyperlink" Target="https://www.guardianlife.com/employee-benefits-trends-to-watch-2025" TargetMode="External" Id="Rc40702b0bda646d9" /><Relationship Type="http://schemas.openxmlformats.org/officeDocument/2006/relationships/numbering" Target="numbering.xml" Id="Ra97233b579104c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D7884A-CA55-4249-9153-E58B04CC4AD7}"/>
</file>

<file path=customXml/itemProps2.xml><?xml version="1.0" encoding="utf-8"?>
<ds:datastoreItem xmlns:ds="http://schemas.openxmlformats.org/officeDocument/2006/customXml" ds:itemID="{F2AA7CEB-9E8F-4DCF-BAC0-02ED8C0A9AB0}"/>
</file>

<file path=customXml/itemProps3.xml><?xml version="1.0" encoding="utf-8"?>
<ds:datastoreItem xmlns:ds="http://schemas.openxmlformats.org/officeDocument/2006/customXml" ds:itemID="{7629140C-B4D6-4E49-B630-9C54300C2F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Leif Drake(UST,US)</dc:creator>
  <cp:keywords/>
  <dc:description/>
  <cp:lastModifiedBy>Leif Drake(UST,US)</cp:lastModifiedBy>
  <dcterms:created xsi:type="dcterms:W3CDTF">2025-07-01T20:20:25Z</dcterms:created>
  <dcterms:modified xsi:type="dcterms:W3CDTF">2025-07-01T20:21:07Z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