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3381110A" w:rsidR="004E1AED" w:rsidRDefault="008A7957" w:rsidP="00E631E5">
      <w:pPr>
        <w:pStyle w:val="Title"/>
        <w:spacing w:line="240" w:lineRule="auto"/>
        <w:rPr>
          <w:sz w:val="24"/>
          <w:szCs w:val="24"/>
        </w:rPr>
      </w:pPr>
      <w:r>
        <w:rPr>
          <w:sz w:val="24"/>
          <w:szCs w:val="24"/>
        </w:rPr>
        <w:t>commodity price prediction and research</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6A900BBC" w:rsidR="00194DF6" w:rsidRDefault="00E631E5" w:rsidP="00C021CA">
      <w:pPr>
        <w:pStyle w:val="Heading3"/>
      </w:pPr>
      <w:r>
        <w:t>Introduction</w:t>
      </w:r>
    </w:p>
    <w:p w14:paraId="331F27FB" w14:textId="65F26597" w:rsidR="007270E2" w:rsidRDefault="007270E2" w:rsidP="00425230">
      <w:pPr>
        <w:spacing w:line="480" w:lineRule="auto"/>
      </w:pPr>
      <w:r>
        <w:t xml:space="preserve">The purpose of this artifact is to memorialize </w:t>
      </w:r>
      <w:r w:rsidR="00B32308">
        <w:t>the findings from the exploratory data analysis performed on the commodities historical price data.</w:t>
      </w:r>
      <w:r w:rsidR="00425230">
        <w:t xml:space="preserve"> </w:t>
      </w:r>
      <w:r w:rsidR="00774ADA">
        <w:t xml:space="preserve">There will be several revisions to this document as the analysis unfolds and relationships are extracted, distributions are </w:t>
      </w:r>
      <w:r w:rsidR="00A962AE">
        <w:t>parameterized,</w:t>
      </w:r>
      <w:r w:rsidR="00774ADA">
        <w:t xml:space="preserve"> and trading strategies are formalized.</w:t>
      </w:r>
      <w:r w:rsidR="00A962AE">
        <w:t xml:space="preserve"> </w:t>
      </w:r>
    </w:p>
    <w:p w14:paraId="0AC5A720" w14:textId="1EE92090" w:rsidR="004F17ED" w:rsidRDefault="004F17ED" w:rsidP="004F17ED">
      <w:pPr>
        <w:pStyle w:val="Heading3"/>
      </w:pPr>
      <w:r>
        <w:t>data processing</w:t>
      </w:r>
      <w:r w:rsidR="00FE5B7C">
        <w:t xml:space="preserve"> and market </w:t>
      </w:r>
      <w:r w:rsidR="00FE5B7C" w:rsidRPr="00FE5B7C">
        <w:t xml:space="preserve">STYLIZED </w:t>
      </w:r>
      <w:r w:rsidR="00FE5B7C">
        <w:t>facts</w:t>
      </w:r>
    </w:p>
    <w:p w14:paraId="2C7778DC" w14:textId="7E646111" w:rsidR="00E9374F" w:rsidRDefault="0058049B" w:rsidP="00A962AE">
      <w:pPr>
        <w:spacing w:line="480" w:lineRule="auto"/>
      </w:pPr>
      <w:r>
        <w:t>The dataset we are working with in this project is composed of price points on various energy commodities</w:t>
      </w:r>
      <w:r w:rsidR="00A962AE">
        <w:t>, specifically we have intraday open, high and low and the daily closing price of which we will be exploring in-depth for several commodities.</w:t>
      </w:r>
      <w:r w:rsidR="003E13E2">
        <w:t xml:space="preserve"> Our initial commodities of interest include Crude (WTI and Brent), Heating Oil (Ultra low Sulfur), Gasoline</w:t>
      </w:r>
      <w:r w:rsidR="00F67627">
        <w:t xml:space="preserve"> and </w:t>
      </w:r>
      <w:r w:rsidR="003E13E2">
        <w:t>Natural Gas</w:t>
      </w:r>
      <w:r w:rsidR="00F67627">
        <w:t>.</w:t>
      </w:r>
      <w:r w:rsidR="00EC410F">
        <w:t xml:space="preserve"> The first step </w:t>
      </w:r>
      <w:r w:rsidR="0064105F">
        <w:t xml:space="preserve">in financial data analysis is typically to take the pricing data and convert these to returns. This transformation serves multiple purposes; however, we are going to specifically callout the two main benefits of this approach. </w:t>
      </w:r>
    </w:p>
    <w:p w14:paraId="266D11BF" w14:textId="77777777" w:rsidR="00E9374F" w:rsidRDefault="0064105F" w:rsidP="00A962AE">
      <w:pPr>
        <w:spacing w:line="480" w:lineRule="auto"/>
      </w:pPr>
      <w:r>
        <w:t xml:space="preserve">The first benefit we get from using returns over prices is that this puts all the symbols on a level playing field by process of normalization: measuring all the variables in a comparable  metric, thus enabling evaluation of analytical relationships amongst the variables despite originating from prices of unequal values. This is not only a nice mathematical property and </w:t>
      </w:r>
      <w:r w:rsidR="00285332">
        <w:t>convenience;</w:t>
      </w:r>
      <w:r>
        <w:t xml:space="preserve"> it is a requirement for many of the statistical and mathematical models and procedures we are going to implore in later research.</w:t>
      </w:r>
      <w:r w:rsidR="00E9374F">
        <w:t xml:space="preserve"> </w:t>
      </w:r>
    </w:p>
    <w:p w14:paraId="25802D84" w14:textId="198C4144" w:rsidR="00CF5EA4" w:rsidRDefault="00E9374F" w:rsidP="00A962AE">
      <w:pPr>
        <w:spacing w:line="480" w:lineRule="auto"/>
        <w:rPr>
          <w:rFonts w:cs="Arial"/>
          <w:color w:val="222222"/>
          <w:shd w:val="clear" w:color="auto" w:fill="FFFFFF"/>
        </w:rPr>
      </w:pPr>
      <w:r>
        <w:t xml:space="preserve">The second benefit of this normalization process is a corollary from the first stylized fact of market prices, in that they follow an approximately log-normal distribution due to the prices having the mathematical property of being restricted to the domain of greater than or equal to zero. </w:t>
      </w:r>
      <w:r w:rsidR="00487D6D">
        <w:t>By converting our price series first into simple returns, and then taking the natural log of this series, we transform the data distribution from log-normal, to one that is approximately normal. We can prove this mathematically, however, for brevity we will instead rely here on the mathematical intuition derived from the Central Limit Theorem (CLT), which states that “</w:t>
      </w:r>
      <w:r w:rsidR="00487D6D" w:rsidRPr="00487D6D">
        <w:rPr>
          <w:rFonts w:cs="Arial"/>
          <w:color w:val="222222"/>
          <w:shd w:val="clear" w:color="auto" w:fill="FFFFFF"/>
        </w:rPr>
        <w:t>the sum of a number of independent and identically distributed random variables</w:t>
      </w:r>
      <w:r w:rsidR="00412D7F">
        <w:rPr>
          <w:rFonts w:cs="Arial"/>
          <w:color w:val="222222"/>
          <w:shd w:val="clear" w:color="auto" w:fill="FFFFFF"/>
        </w:rPr>
        <w:t xml:space="preserve"> (R</w:t>
      </w:r>
      <w:r w:rsidR="00412D7F" w:rsidRPr="00412D7F">
        <w:rPr>
          <w:rFonts w:cs="Arial"/>
          <w:color w:val="222222"/>
          <w:shd w:val="clear" w:color="auto" w:fill="FFFFFF"/>
          <w:vertAlign w:val="subscript"/>
        </w:rPr>
        <w:t>i</w:t>
      </w:r>
      <w:r w:rsidR="00412D7F">
        <w:rPr>
          <w:rFonts w:cs="Arial"/>
          <w:color w:val="222222"/>
          <w:shd w:val="clear" w:color="auto" w:fill="FFFFFF"/>
        </w:rPr>
        <w:t>)</w:t>
      </w:r>
      <w:r w:rsidR="00487D6D" w:rsidRPr="00487D6D">
        <w:rPr>
          <w:rFonts w:cs="Arial"/>
          <w:color w:val="222222"/>
          <w:shd w:val="clear" w:color="auto" w:fill="FFFFFF"/>
        </w:rPr>
        <w:t xml:space="preserve"> with finite variances will tend to a normal distribution as the number of variables grows</w:t>
      </w:r>
      <w:r w:rsidR="0071067F">
        <w:rPr>
          <w:rFonts w:cs="Arial"/>
          <w:color w:val="222222"/>
          <w:shd w:val="clear" w:color="auto" w:fill="FFFFFF"/>
        </w:rPr>
        <w:t>.</w:t>
      </w:r>
      <w:r w:rsidR="00487D6D">
        <w:rPr>
          <w:rFonts w:cs="Arial"/>
          <w:color w:val="222222"/>
          <w:shd w:val="clear" w:color="auto" w:fill="FFFFFF"/>
        </w:rPr>
        <w:t>”</w:t>
      </w:r>
      <w:r w:rsidR="0071067F">
        <w:rPr>
          <w:rFonts w:cs="Arial"/>
          <w:color w:val="222222"/>
          <w:shd w:val="clear" w:color="auto" w:fill="FFFFFF"/>
        </w:rPr>
        <w:t xml:space="preserve"> Here, our price series are assumed to be independent and identically distributed, our returns are log-</w:t>
      </w:r>
      <w:r w:rsidR="0071067F">
        <w:rPr>
          <w:rFonts w:cs="Arial"/>
          <w:color w:val="222222"/>
          <w:shd w:val="clear" w:color="auto" w:fill="FFFFFF"/>
        </w:rPr>
        <w:lastRenderedPageBreak/>
        <w:t>transformed which have the property of time-dependent additivity (R</w:t>
      </w:r>
      <w:r w:rsidR="0071067F" w:rsidRPr="0071067F">
        <w:rPr>
          <w:rFonts w:cs="Arial"/>
          <w:color w:val="222222"/>
          <w:shd w:val="clear" w:color="auto" w:fill="FFFFFF"/>
          <w:vertAlign w:val="subscript"/>
        </w:rPr>
        <w:t>t</w:t>
      </w:r>
      <w:r w:rsidR="00002ED1">
        <w:rPr>
          <w:rFonts w:cs="Arial"/>
          <w:color w:val="222222"/>
          <w:shd w:val="clear" w:color="auto" w:fill="FFFFFF"/>
          <w:vertAlign w:val="subscript"/>
        </w:rPr>
        <w:t xml:space="preserve">+1 </w:t>
      </w:r>
      <w:r w:rsidR="00002ED1">
        <w:rPr>
          <w:rFonts w:cs="Arial"/>
          <w:color w:val="222222"/>
          <w:shd w:val="clear" w:color="auto" w:fill="FFFFFF"/>
        </w:rPr>
        <w:t>= R</w:t>
      </w:r>
      <w:r w:rsidR="00002ED1">
        <w:rPr>
          <w:rFonts w:cs="Arial"/>
          <w:color w:val="222222"/>
          <w:shd w:val="clear" w:color="auto" w:fill="FFFFFF"/>
          <w:vertAlign w:val="subscript"/>
        </w:rPr>
        <w:t>t</w:t>
      </w:r>
      <w:r w:rsidR="00002ED1">
        <w:rPr>
          <w:rFonts w:cs="Arial"/>
          <w:color w:val="222222"/>
          <w:shd w:val="clear" w:color="auto" w:fill="FFFFFF"/>
        </w:rPr>
        <w:t xml:space="preserve"> + R</w:t>
      </w:r>
      <w:r w:rsidR="00002ED1" w:rsidRPr="00002ED1">
        <w:rPr>
          <w:rFonts w:cs="Arial"/>
          <w:color w:val="222222"/>
          <w:shd w:val="clear" w:color="auto" w:fill="FFFFFF"/>
          <w:vertAlign w:val="subscript"/>
        </w:rPr>
        <w:t>t-1</w:t>
      </w:r>
      <w:r w:rsidR="00002ED1">
        <w:rPr>
          <w:rFonts w:cs="Arial"/>
          <w:color w:val="222222"/>
          <w:shd w:val="clear" w:color="auto" w:fill="FFFFFF"/>
        </w:rPr>
        <w:t>), and thereby will be approximately normal.</w:t>
      </w:r>
      <w:r w:rsidR="006F14AA">
        <w:rPr>
          <w:rFonts w:cs="Arial"/>
          <w:color w:val="222222"/>
          <w:shd w:val="clear" w:color="auto" w:fill="FFFFFF"/>
        </w:rPr>
        <w:t xml:space="preserve"> </w:t>
      </w:r>
      <w:r w:rsidR="00002ED1">
        <w:rPr>
          <w:rFonts w:cs="Arial"/>
          <w:color w:val="222222"/>
          <w:shd w:val="clear" w:color="auto" w:fill="FFFFFF"/>
        </w:rPr>
        <w:t>Later, our assumptions of normality will be revised and expanded to include maximum likelihood estimates for parametric versions of the normal distributions to further account for both tail risk and tail dependence, both of which are market stylized facts that will be explored in-depth.</w:t>
      </w:r>
    </w:p>
    <w:p w14:paraId="3A9F6FC0" w14:textId="6E8E6DD4" w:rsidR="009C1501" w:rsidRDefault="009C1501" w:rsidP="009C1501">
      <w:pPr>
        <w:pStyle w:val="Heading3"/>
      </w:pPr>
      <w:r>
        <w:t>Distributions</w:t>
      </w:r>
      <w:r w:rsidR="001D13CA">
        <w:t xml:space="preserve"> &amp; variance</w:t>
      </w:r>
    </w:p>
    <w:p w14:paraId="6B310269" w14:textId="2092AD07" w:rsidR="009A1F36" w:rsidRDefault="00AE5E8B" w:rsidP="009A1F36">
      <w:pPr>
        <w:spacing w:line="480" w:lineRule="auto"/>
      </w:pPr>
      <w:r>
        <w:t>Looking</w:t>
      </w:r>
      <w:r w:rsidR="00A85F98">
        <w:t xml:space="preserve"> at the distribution of the returns for the commodities since 2014, we will notice some distinguishing characteristics</w:t>
      </w:r>
      <w:r>
        <w:t xml:space="preserve"> that may help us in further pattern analysis</w:t>
      </w:r>
      <w:r w:rsidR="00A85F98">
        <w:t>:</w:t>
      </w:r>
    </w:p>
    <w:p w14:paraId="6C27E6D8" w14:textId="60537F6F" w:rsidR="00A85F98" w:rsidRDefault="006C7AA2" w:rsidP="009A1F36">
      <w:pPr>
        <w:spacing w:line="480" w:lineRule="auto"/>
      </w:pPr>
      <w:r>
        <w:rPr>
          <w:noProof/>
        </w:rPr>
        <w:drawing>
          <wp:inline distT="0" distB="0" distL="0" distR="0" wp14:anchorId="58948730" wp14:editId="36A48372">
            <wp:extent cx="6858000" cy="3391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391535"/>
                    </a:xfrm>
                    <a:prstGeom prst="rect">
                      <a:avLst/>
                    </a:prstGeom>
                  </pic:spPr>
                </pic:pic>
              </a:graphicData>
            </a:graphic>
          </wp:inline>
        </w:drawing>
      </w:r>
    </w:p>
    <w:p w14:paraId="255B0E7D" w14:textId="0F0A8875" w:rsidR="008B296F" w:rsidRDefault="006C7AA2" w:rsidP="009A1F36">
      <w:pPr>
        <w:spacing w:line="480" w:lineRule="auto"/>
      </w:pPr>
      <w:r>
        <w:t>The most obvious fact that jumps out from the above plot is the spread/variance amongst the commodities.</w:t>
      </w:r>
      <w:r w:rsidR="00D52D7F">
        <w:t xml:space="preserve"> The volatility for these assets are obvious, however, the crude VIX is an outlier amongst outliers.</w:t>
      </w:r>
      <w:r w:rsidR="008B296F">
        <w:t xml:space="preserve"> It is clear we will need to use a Student’s t for each of the assets, as use independent maximum likelihood estimates for the degrees of freedom.</w:t>
      </w:r>
    </w:p>
    <w:p w14:paraId="2221BBA9" w14:textId="5CC13368" w:rsidR="00E87A6B" w:rsidRDefault="00E87A6B" w:rsidP="009A1F36">
      <w:pPr>
        <w:spacing w:line="480" w:lineRule="auto"/>
      </w:pPr>
      <w:r>
        <w:t>A quick visual inspection of the Crude VIX vs some standard t-distributions will be useful to gather a quick estimate on the degrees of freedom we’ll need to model these further:</w:t>
      </w:r>
    </w:p>
    <w:p w14:paraId="7ADE0FB8" w14:textId="340DF81C" w:rsidR="00E87A6B" w:rsidRDefault="00E87A6B" w:rsidP="009A1F36">
      <w:pPr>
        <w:spacing w:line="480" w:lineRule="auto"/>
      </w:pPr>
    </w:p>
    <w:p w14:paraId="16F4242A" w14:textId="77777777" w:rsidR="00E87A6B" w:rsidRDefault="00E87A6B" w:rsidP="009A1F36">
      <w:pPr>
        <w:spacing w:line="480" w:lineRule="auto"/>
      </w:pPr>
    </w:p>
    <w:p w14:paraId="5EC8F100" w14:textId="35264E28" w:rsidR="00E87A6B" w:rsidRDefault="00E87A6B" w:rsidP="009A1F36">
      <w:pPr>
        <w:spacing w:line="480" w:lineRule="auto"/>
      </w:pPr>
      <w:r>
        <w:rPr>
          <w:noProof/>
        </w:rPr>
        <w:lastRenderedPageBreak/>
        <w:drawing>
          <wp:inline distT="0" distB="0" distL="0" distR="0" wp14:anchorId="46A17FFB" wp14:editId="698F2FB6">
            <wp:extent cx="6858000" cy="3391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3391535"/>
                    </a:xfrm>
                    <a:prstGeom prst="rect">
                      <a:avLst/>
                    </a:prstGeom>
                  </pic:spPr>
                </pic:pic>
              </a:graphicData>
            </a:graphic>
          </wp:inline>
        </w:drawing>
      </w:r>
    </w:p>
    <w:p w14:paraId="199123BC" w14:textId="32675C38" w:rsidR="00E87A6B" w:rsidRDefault="00E87A6B" w:rsidP="009A1F36">
      <w:pPr>
        <w:spacing w:line="480" w:lineRule="auto"/>
      </w:pPr>
      <w:r>
        <w:t>It appears that the Crude VIX will need a an extremely low degree of freedom parameter, as the variance is almost undefined (v &lt;= 2 is “infinite” variance).</w:t>
      </w:r>
    </w:p>
    <w:p w14:paraId="4249A1F1" w14:textId="3ECD14F8" w:rsidR="00E87A6B" w:rsidRDefault="00E87A6B" w:rsidP="009A1F36">
      <w:pPr>
        <w:spacing w:line="480" w:lineRule="auto"/>
      </w:pPr>
      <w:r>
        <w:rPr>
          <w:noProof/>
        </w:rPr>
        <w:drawing>
          <wp:inline distT="0" distB="0" distL="0" distR="0" wp14:anchorId="1F998E22" wp14:editId="5EF6D819">
            <wp:extent cx="6858000" cy="3391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391535"/>
                    </a:xfrm>
                    <a:prstGeom prst="rect">
                      <a:avLst/>
                    </a:prstGeom>
                  </pic:spPr>
                </pic:pic>
              </a:graphicData>
            </a:graphic>
          </wp:inline>
        </w:drawing>
      </w:r>
    </w:p>
    <w:p w14:paraId="5CAA386C" w14:textId="74567004" w:rsidR="00E87A6B" w:rsidRDefault="00E87A6B" w:rsidP="009A1F36">
      <w:pPr>
        <w:spacing w:line="480" w:lineRule="auto"/>
      </w:pPr>
      <w:r>
        <w:t>It looks like we can get close with around ~3 degrees of freedom. We will have to revisit these later when we perform the maximum likelihood estimation.</w:t>
      </w:r>
    </w:p>
    <w:p w14:paraId="33143E58" w14:textId="2C1448FA" w:rsidR="00E87A6B" w:rsidRDefault="00E87A6B" w:rsidP="009A1F36">
      <w:pPr>
        <w:spacing w:line="480" w:lineRule="auto"/>
      </w:pPr>
      <w:r>
        <w:lastRenderedPageBreak/>
        <w:t>A similar look at the clustering behavior of the returns yield some additional interesting observations:</w:t>
      </w:r>
    </w:p>
    <w:p w14:paraId="21405CCA" w14:textId="2F1C1881" w:rsidR="00E87A6B" w:rsidRDefault="00E87A6B" w:rsidP="009A1F36">
      <w:pPr>
        <w:spacing w:line="480" w:lineRule="auto"/>
      </w:pPr>
      <w:r>
        <w:rPr>
          <w:noProof/>
        </w:rPr>
        <w:drawing>
          <wp:inline distT="0" distB="0" distL="0" distR="0" wp14:anchorId="6C7C4DB6" wp14:editId="4B1AC33F">
            <wp:extent cx="6858000" cy="3391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91535"/>
                    </a:xfrm>
                    <a:prstGeom prst="rect">
                      <a:avLst/>
                    </a:prstGeom>
                  </pic:spPr>
                </pic:pic>
              </a:graphicData>
            </a:graphic>
          </wp:inline>
        </w:drawing>
      </w:r>
    </w:p>
    <w:p w14:paraId="63E4DE02" w14:textId="649FFE70" w:rsidR="00E87A6B" w:rsidRDefault="00E87A6B" w:rsidP="009A1F36">
      <w:pPr>
        <w:spacing w:line="480" w:lineRule="auto"/>
      </w:pPr>
      <w:r>
        <w:t>We can see the Brent and WTI appear to be relatively stable</w:t>
      </w:r>
      <w:r w:rsidR="0004411C">
        <w:t xml:space="preserve"> amongst the assets, having </w:t>
      </w:r>
      <w:r w:rsidR="00750F66">
        <w:t>the most returns cluster towards the mean. We can also break it out by commodity, to get an individual sense of the spreads.</w:t>
      </w:r>
    </w:p>
    <w:p w14:paraId="44F27CF2" w14:textId="4470FE4A" w:rsidR="00750F66" w:rsidRPr="007270E2" w:rsidRDefault="00750F66" w:rsidP="009A1F36">
      <w:pPr>
        <w:spacing w:line="480" w:lineRule="auto"/>
      </w:pPr>
      <w:r>
        <w:rPr>
          <w:noProof/>
        </w:rPr>
        <w:drawing>
          <wp:inline distT="0" distB="0" distL="0" distR="0" wp14:anchorId="3DD8378C" wp14:editId="0667F217">
            <wp:extent cx="6858000" cy="339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391535"/>
                    </a:xfrm>
                    <a:prstGeom prst="rect">
                      <a:avLst/>
                    </a:prstGeom>
                  </pic:spPr>
                </pic:pic>
              </a:graphicData>
            </a:graphic>
          </wp:inline>
        </w:drawing>
      </w:r>
    </w:p>
    <w:p w14:paraId="5236542E" w14:textId="6DA516C1" w:rsidR="009A1F36" w:rsidRDefault="009A1F36" w:rsidP="009A1F36">
      <w:pPr>
        <w:pStyle w:val="Heading3"/>
      </w:pPr>
      <w:r>
        <w:t>Relationships</w:t>
      </w:r>
    </w:p>
    <w:p w14:paraId="35357725" w14:textId="1722450B" w:rsidR="00BD1ED7" w:rsidRDefault="00BD1ED7" w:rsidP="00BD1ED7">
      <w:pPr>
        <w:spacing w:line="480" w:lineRule="auto"/>
      </w:pPr>
      <w:r>
        <w:rPr>
          <w:noProof/>
        </w:rPr>
        <w:lastRenderedPageBreak/>
        <w:drawing>
          <wp:anchor distT="0" distB="0" distL="114300" distR="114300" simplePos="0" relativeHeight="251658240" behindDoc="0" locked="0" layoutInCell="1" allowOverlap="1" wp14:anchorId="443E6E1D" wp14:editId="38FA2CEC">
            <wp:simplePos x="0" y="0"/>
            <wp:positionH relativeFrom="margin">
              <wp:posOffset>838200</wp:posOffset>
            </wp:positionH>
            <wp:positionV relativeFrom="paragraph">
              <wp:posOffset>2152650</wp:posOffset>
            </wp:positionV>
            <wp:extent cx="5029200" cy="4569089"/>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1166" cy="4570875"/>
                    </a:xfrm>
                    <a:prstGeom prst="rect">
                      <a:avLst/>
                    </a:prstGeom>
                  </pic:spPr>
                </pic:pic>
              </a:graphicData>
            </a:graphic>
            <wp14:sizeRelH relativeFrom="margin">
              <wp14:pctWidth>0</wp14:pctWidth>
            </wp14:sizeRelH>
            <wp14:sizeRelV relativeFrom="margin">
              <wp14:pctHeight>0</wp14:pctHeight>
            </wp14:sizeRelV>
          </wp:anchor>
        </w:drawing>
      </w:r>
      <w:r w:rsidR="00CF4334">
        <w:t>An important aspect of any quantitative trading strategy is to establish the strength of relationships between assets, instruments and markets.</w:t>
      </w:r>
      <w:r w:rsidR="00B22D21">
        <w:t xml:space="preserve"> Relationships are important for many reasons including, but not limited to, creating potential arbitrage opportunities, hedging risks, managing drawdowns and expectation of returns and volatility. </w:t>
      </w:r>
      <w:r w:rsidR="00F0561C">
        <w:t xml:space="preserve">For example, if our strategy holds </w:t>
      </w:r>
      <w:r w:rsidR="00166A41">
        <w:t xml:space="preserve">instruments with </w:t>
      </w:r>
      <w:r w:rsidR="00F0561C">
        <w:t>high</w:t>
      </w:r>
      <w:r w:rsidR="00166A41">
        <w:t>ly positive correlations, especially in the tails, then we would expect a high degree of volatility in our strategy.</w:t>
      </w:r>
      <w:r>
        <w:t xml:space="preserve"> In the below chart, we can see the correlations of the returns of each of the commodities under analysis. These high-level relationships will drive further in-depth analysis.</w:t>
      </w:r>
    </w:p>
    <w:p w14:paraId="18BF6CB9" w14:textId="0BE62751" w:rsidR="00BD1ED7" w:rsidRDefault="0033199C" w:rsidP="00BD1ED7">
      <w:pPr>
        <w:spacing w:line="480" w:lineRule="auto"/>
      </w:pPr>
      <w:r>
        <w:t xml:space="preserve">In the above correlation </w:t>
      </w:r>
      <w:r w:rsidR="0053119A">
        <w:t>matrix,</w:t>
      </w:r>
      <w:r>
        <w:t xml:space="preserve"> we see the simple “linear” (Pearson’s) correlation only produce negative correlations between VE, which is the volatility index for crude. Incidentally, the VE is a </w:t>
      </w:r>
      <w:r w:rsidR="0053119A">
        <w:t xml:space="preserve">lagging </w:t>
      </w:r>
      <w:r>
        <w:t>measure of</w:t>
      </w:r>
      <w:r w:rsidR="0053119A">
        <w:t xml:space="preserve"> the rolling volatility in crude oil products, and the negative correlation to the VE is only prominent in the four crude symbols, CL, SC, MT and QA.</w:t>
      </w:r>
    </w:p>
    <w:p w14:paraId="177F0CC5" w14:textId="399441DF" w:rsidR="009D2982" w:rsidRPr="007270E2" w:rsidRDefault="009D2982" w:rsidP="00987DD0">
      <w:pPr>
        <w:pStyle w:val="Heading2"/>
        <w:jc w:val="center"/>
      </w:pPr>
      <w:r>
        <w:t>Crude Correlations</w:t>
      </w:r>
    </w:p>
    <w:p w14:paraId="7805472D" w14:textId="0C0542A3" w:rsidR="00BD1ED7" w:rsidRDefault="0081075F" w:rsidP="00987DD0">
      <w:pPr>
        <w:spacing w:line="480" w:lineRule="auto"/>
        <w:jc w:val="center"/>
      </w:pPr>
      <w:r>
        <w:t>Person’s Correlation:</w:t>
      </w:r>
    </w:p>
    <w:p w14:paraId="7D16D474" w14:textId="6C9EB3E0" w:rsidR="0081075F" w:rsidRDefault="00E8734C" w:rsidP="0081075F">
      <w:pPr>
        <w:spacing w:line="480" w:lineRule="auto"/>
        <w:jc w:val="center"/>
      </w:pPr>
      <w:r>
        <w:rPr>
          <w:noProof/>
        </w:rPr>
        <w:lastRenderedPageBreak/>
        <w:drawing>
          <wp:inline distT="0" distB="0" distL="0" distR="0" wp14:anchorId="1F67827A" wp14:editId="0FF3F61D">
            <wp:extent cx="5339482" cy="15204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318" cy="1532369"/>
                    </a:xfrm>
                    <a:prstGeom prst="rect">
                      <a:avLst/>
                    </a:prstGeom>
                  </pic:spPr>
                </pic:pic>
              </a:graphicData>
            </a:graphic>
          </wp:inline>
        </w:drawing>
      </w:r>
    </w:p>
    <w:p w14:paraId="5FFE22D0" w14:textId="6BC7D7E1" w:rsidR="0081075F" w:rsidRDefault="0081075F" w:rsidP="00987DD0">
      <w:pPr>
        <w:spacing w:line="480" w:lineRule="auto"/>
        <w:jc w:val="center"/>
      </w:pPr>
      <w:r>
        <w:t>Kendall’s Tau:</w:t>
      </w:r>
    </w:p>
    <w:p w14:paraId="6CB1B0FF" w14:textId="1D357C25" w:rsidR="0081075F" w:rsidRDefault="00E8734C" w:rsidP="00E8734C">
      <w:pPr>
        <w:spacing w:line="480" w:lineRule="auto"/>
        <w:jc w:val="center"/>
      </w:pPr>
      <w:r>
        <w:rPr>
          <w:noProof/>
        </w:rPr>
        <w:drawing>
          <wp:inline distT="0" distB="0" distL="0" distR="0" wp14:anchorId="6CFE70B8" wp14:editId="3B41E9AE">
            <wp:extent cx="5003061" cy="1711574"/>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8281" cy="1716781"/>
                    </a:xfrm>
                    <a:prstGeom prst="rect">
                      <a:avLst/>
                    </a:prstGeom>
                  </pic:spPr>
                </pic:pic>
              </a:graphicData>
            </a:graphic>
          </wp:inline>
        </w:drawing>
      </w:r>
    </w:p>
    <w:p w14:paraId="27E86777" w14:textId="488D6B74" w:rsidR="00E8734C" w:rsidRDefault="00E8734C" w:rsidP="00987DD0">
      <w:pPr>
        <w:spacing w:line="480" w:lineRule="auto"/>
        <w:jc w:val="center"/>
      </w:pPr>
      <w:r>
        <w:t>Spearman’s Rho:</w:t>
      </w:r>
    </w:p>
    <w:p w14:paraId="74600CE4" w14:textId="0AC61A1A" w:rsidR="00E8734C" w:rsidRDefault="00E8734C" w:rsidP="00E8734C">
      <w:pPr>
        <w:spacing w:line="480" w:lineRule="auto"/>
        <w:jc w:val="center"/>
      </w:pPr>
      <w:r>
        <w:rPr>
          <w:noProof/>
        </w:rPr>
        <w:drawing>
          <wp:inline distT="0" distB="0" distL="0" distR="0" wp14:anchorId="19CEB9B5" wp14:editId="2AB70B3A">
            <wp:extent cx="51720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2075" cy="1685925"/>
                    </a:xfrm>
                    <a:prstGeom prst="rect">
                      <a:avLst/>
                    </a:prstGeom>
                  </pic:spPr>
                </pic:pic>
              </a:graphicData>
            </a:graphic>
          </wp:inline>
        </w:drawing>
      </w:r>
    </w:p>
    <w:p w14:paraId="4DCEA6E9" w14:textId="1149D232" w:rsidR="009D2982" w:rsidRDefault="006977EA" w:rsidP="009D2982">
      <w:pPr>
        <w:spacing w:line="480" w:lineRule="auto"/>
      </w:pPr>
      <w:r>
        <w:t xml:space="preserve">In the correlations we notice the Spearman’s Rho for WTI and Gulf Sour seem to be directionally </w:t>
      </w:r>
      <w:r w:rsidR="00F01EEB">
        <w:t>correlated</w:t>
      </w:r>
      <w:bookmarkStart w:id="0" w:name="_GoBack"/>
      <w:bookmarkEnd w:id="0"/>
      <w:r>
        <w:t xml:space="preserve"> about 89% of the time. Additionally, there is a strong linear relationship indicated by Pearson’s correlation coefficient: Let’s zoom in a highly correlated period, 2018:</w:t>
      </w:r>
    </w:p>
    <w:p w14:paraId="089C5C20" w14:textId="520D34AD" w:rsidR="006977EA" w:rsidRDefault="006977EA" w:rsidP="009D2982">
      <w:pPr>
        <w:spacing w:line="480" w:lineRule="auto"/>
      </w:pPr>
      <w:r>
        <w:rPr>
          <w:noProof/>
        </w:rPr>
        <w:lastRenderedPageBreak/>
        <w:drawing>
          <wp:inline distT="0" distB="0" distL="0" distR="0" wp14:anchorId="5341DE87" wp14:editId="7F71F692">
            <wp:extent cx="6858000" cy="3391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391535"/>
                    </a:xfrm>
                    <a:prstGeom prst="rect">
                      <a:avLst/>
                    </a:prstGeom>
                  </pic:spPr>
                </pic:pic>
              </a:graphicData>
            </a:graphic>
          </wp:inline>
        </w:drawing>
      </w:r>
    </w:p>
    <w:p w14:paraId="5FAAB194" w14:textId="001AF4A0" w:rsidR="006977EA" w:rsidRDefault="00B562D8" w:rsidP="009D2982">
      <w:pPr>
        <w:spacing w:line="480" w:lineRule="auto"/>
      </w:pPr>
      <w:r>
        <w:t>A scatterplot of the returns reveals additional clustering, and confirms the near linear relationship:</w:t>
      </w:r>
    </w:p>
    <w:p w14:paraId="25273CC6" w14:textId="3BD38E8F" w:rsidR="00B562D8" w:rsidRDefault="00B562D8" w:rsidP="009D2982">
      <w:pPr>
        <w:spacing w:line="480" w:lineRule="auto"/>
      </w:pPr>
      <w:r>
        <w:rPr>
          <w:noProof/>
        </w:rPr>
        <w:drawing>
          <wp:inline distT="0" distB="0" distL="0" distR="0" wp14:anchorId="0009021A" wp14:editId="65B715FE">
            <wp:extent cx="685800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391535"/>
                    </a:xfrm>
                    <a:prstGeom prst="rect">
                      <a:avLst/>
                    </a:prstGeom>
                  </pic:spPr>
                </pic:pic>
              </a:graphicData>
            </a:graphic>
          </wp:inline>
        </w:drawing>
      </w:r>
    </w:p>
    <w:p w14:paraId="3E10E342" w14:textId="77777777" w:rsidR="00B562D8" w:rsidRDefault="00B562D8" w:rsidP="009D2982">
      <w:pPr>
        <w:spacing w:line="480" w:lineRule="auto"/>
      </w:pPr>
    </w:p>
    <w:p w14:paraId="43F42241" w14:textId="4D4D8540" w:rsidR="004C6B76" w:rsidRDefault="004C6B76" w:rsidP="00C021CA">
      <w:pPr>
        <w:pStyle w:val="Heading3"/>
      </w:pPr>
      <w:r>
        <w:t>Research</w:t>
      </w:r>
    </w:p>
    <w:p w14:paraId="69BC2DC8" w14:textId="0AFFB8BD" w:rsidR="004F17ED" w:rsidRPr="007270E2" w:rsidRDefault="006D7995" w:rsidP="00425230">
      <w:pPr>
        <w:spacing w:line="480" w:lineRule="auto"/>
      </w:pPr>
      <w:r>
        <w:t xml:space="preserve">The </w:t>
      </w:r>
    </w:p>
    <w:p w14:paraId="285AB999" w14:textId="330D769C" w:rsidR="00AB71B1" w:rsidRDefault="004C6B76" w:rsidP="00AB71B1">
      <w:pPr>
        <w:pStyle w:val="Heading3"/>
        <w:spacing w:line="480" w:lineRule="auto"/>
      </w:pPr>
      <w:r>
        <w:lastRenderedPageBreak/>
        <w:t>Conclusion</w:t>
      </w:r>
    </w:p>
    <w:p w14:paraId="268C1EC4" w14:textId="77777777" w:rsidR="00AB71B1" w:rsidRPr="00AB71B1" w:rsidRDefault="00AB71B1" w:rsidP="00AB71B1"/>
    <w:p w14:paraId="3B8ED96E" w14:textId="4F7948A4" w:rsidR="00AB71B1" w:rsidRDefault="00AB71B1" w:rsidP="00AB71B1">
      <w:pPr>
        <w:pStyle w:val="Heading3"/>
        <w:spacing w:line="480" w:lineRule="auto"/>
      </w:pPr>
      <w:r>
        <w:t>Appendix</w:t>
      </w:r>
    </w:p>
    <w:p w14:paraId="7AE492A4" w14:textId="68252F1E" w:rsidR="00AB71B1" w:rsidRPr="00AB71B1" w:rsidRDefault="00152E6B" w:rsidP="00AB71B1">
      <w:r>
        <w:rPr>
          <w:noProof/>
        </w:rPr>
        <w:drawing>
          <wp:inline distT="0" distB="0" distL="0" distR="0" wp14:anchorId="758D7241" wp14:editId="7E0B4282">
            <wp:extent cx="6858000" cy="337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378200"/>
                    </a:xfrm>
                    <a:prstGeom prst="rect">
                      <a:avLst/>
                    </a:prstGeom>
                  </pic:spPr>
                </pic:pic>
              </a:graphicData>
            </a:graphic>
          </wp:inline>
        </w:drawing>
      </w:r>
    </w:p>
    <w:p w14:paraId="171E1CB0" w14:textId="77777777" w:rsidR="00425230" w:rsidRPr="00425230" w:rsidRDefault="00425230" w:rsidP="00425230">
      <w:pPr>
        <w:spacing w:line="480" w:lineRule="auto"/>
      </w:pPr>
    </w:p>
    <w:sectPr w:rsidR="00425230" w:rsidRPr="00425230" w:rsidSect="00382EEC">
      <w:footerReference w:type="default" r:id="rId2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2498" w14:textId="77777777" w:rsidR="00D22AE9" w:rsidRDefault="00D22AE9">
      <w:pPr>
        <w:spacing w:after="0" w:line="240" w:lineRule="auto"/>
      </w:pPr>
      <w:r>
        <w:separator/>
      </w:r>
    </w:p>
  </w:endnote>
  <w:endnote w:type="continuationSeparator" w:id="0">
    <w:p w14:paraId="34311BC0" w14:textId="77777777" w:rsidR="00D22AE9" w:rsidRDefault="00D22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6B79A" w14:textId="77777777" w:rsidR="00D22AE9" w:rsidRDefault="00D22AE9">
      <w:pPr>
        <w:spacing w:after="0" w:line="240" w:lineRule="auto"/>
      </w:pPr>
      <w:r>
        <w:separator/>
      </w:r>
    </w:p>
  </w:footnote>
  <w:footnote w:type="continuationSeparator" w:id="0">
    <w:p w14:paraId="420E9575" w14:textId="77777777" w:rsidR="00D22AE9" w:rsidRDefault="00D22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QUAIYRvFiwAAAA="/>
  </w:docVars>
  <w:rsids>
    <w:rsidRoot w:val="00CB62AB"/>
    <w:rsid w:val="00002ED1"/>
    <w:rsid w:val="0004411C"/>
    <w:rsid w:val="00044BE4"/>
    <w:rsid w:val="000B697B"/>
    <w:rsid w:val="000D3979"/>
    <w:rsid w:val="000E57CE"/>
    <w:rsid w:val="00103765"/>
    <w:rsid w:val="00122AB0"/>
    <w:rsid w:val="001414EF"/>
    <w:rsid w:val="00152E6B"/>
    <w:rsid w:val="0015520D"/>
    <w:rsid w:val="00166A41"/>
    <w:rsid w:val="00194DF6"/>
    <w:rsid w:val="001A562B"/>
    <w:rsid w:val="001B1B33"/>
    <w:rsid w:val="001B5B1D"/>
    <w:rsid w:val="001D13CA"/>
    <w:rsid w:val="00215A06"/>
    <w:rsid w:val="00235032"/>
    <w:rsid w:val="00270579"/>
    <w:rsid w:val="00285332"/>
    <w:rsid w:val="002C646A"/>
    <w:rsid w:val="002C7258"/>
    <w:rsid w:val="002D4FAC"/>
    <w:rsid w:val="00311891"/>
    <w:rsid w:val="0033199C"/>
    <w:rsid w:val="00352C5E"/>
    <w:rsid w:val="003655E0"/>
    <w:rsid w:val="00372388"/>
    <w:rsid w:val="00382EEC"/>
    <w:rsid w:val="003A4485"/>
    <w:rsid w:val="003C582D"/>
    <w:rsid w:val="003E13E2"/>
    <w:rsid w:val="00400D5C"/>
    <w:rsid w:val="00412D7F"/>
    <w:rsid w:val="00425230"/>
    <w:rsid w:val="0046642F"/>
    <w:rsid w:val="004742A0"/>
    <w:rsid w:val="00474853"/>
    <w:rsid w:val="00474C14"/>
    <w:rsid w:val="00487D6D"/>
    <w:rsid w:val="00491FE1"/>
    <w:rsid w:val="004A042E"/>
    <w:rsid w:val="004B228D"/>
    <w:rsid w:val="004C6B76"/>
    <w:rsid w:val="004D7DFC"/>
    <w:rsid w:val="004E1AED"/>
    <w:rsid w:val="004E6BE4"/>
    <w:rsid w:val="004F17ED"/>
    <w:rsid w:val="00500B16"/>
    <w:rsid w:val="0053119A"/>
    <w:rsid w:val="00551956"/>
    <w:rsid w:val="00567BEB"/>
    <w:rsid w:val="0058049B"/>
    <w:rsid w:val="00590E94"/>
    <w:rsid w:val="005C0FF0"/>
    <w:rsid w:val="005C12A5"/>
    <w:rsid w:val="005C2F33"/>
    <w:rsid w:val="005D3082"/>
    <w:rsid w:val="005E66E2"/>
    <w:rsid w:val="0064105F"/>
    <w:rsid w:val="006410B6"/>
    <w:rsid w:val="0069012E"/>
    <w:rsid w:val="00692A68"/>
    <w:rsid w:val="006977EA"/>
    <w:rsid w:val="006C7AA2"/>
    <w:rsid w:val="006D7995"/>
    <w:rsid w:val="006F14AA"/>
    <w:rsid w:val="0071067F"/>
    <w:rsid w:val="007270E2"/>
    <w:rsid w:val="00727E6A"/>
    <w:rsid w:val="00731268"/>
    <w:rsid w:val="00734A60"/>
    <w:rsid w:val="0075072D"/>
    <w:rsid w:val="00750F66"/>
    <w:rsid w:val="00774ADA"/>
    <w:rsid w:val="0078479D"/>
    <w:rsid w:val="00795A5A"/>
    <w:rsid w:val="00797E99"/>
    <w:rsid w:val="007D7C8F"/>
    <w:rsid w:val="00800777"/>
    <w:rsid w:val="008060B3"/>
    <w:rsid w:val="0081075F"/>
    <w:rsid w:val="0088418F"/>
    <w:rsid w:val="008842D3"/>
    <w:rsid w:val="00890D4D"/>
    <w:rsid w:val="008A7957"/>
    <w:rsid w:val="008B296F"/>
    <w:rsid w:val="008F6B0B"/>
    <w:rsid w:val="00912D7C"/>
    <w:rsid w:val="00935825"/>
    <w:rsid w:val="00942A6C"/>
    <w:rsid w:val="009457BE"/>
    <w:rsid w:val="00953D11"/>
    <w:rsid w:val="00957257"/>
    <w:rsid w:val="00972564"/>
    <w:rsid w:val="00987DD0"/>
    <w:rsid w:val="009A1F36"/>
    <w:rsid w:val="009C09A0"/>
    <w:rsid w:val="009C1501"/>
    <w:rsid w:val="009D2982"/>
    <w:rsid w:val="00A1310C"/>
    <w:rsid w:val="00A13A36"/>
    <w:rsid w:val="00A15B90"/>
    <w:rsid w:val="00A64317"/>
    <w:rsid w:val="00A6780C"/>
    <w:rsid w:val="00A84AC8"/>
    <w:rsid w:val="00A85F98"/>
    <w:rsid w:val="00A962AE"/>
    <w:rsid w:val="00AB71B1"/>
    <w:rsid w:val="00AE24A6"/>
    <w:rsid w:val="00AE5E8B"/>
    <w:rsid w:val="00B138DE"/>
    <w:rsid w:val="00B17C49"/>
    <w:rsid w:val="00B22D21"/>
    <w:rsid w:val="00B30BE8"/>
    <w:rsid w:val="00B32308"/>
    <w:rsid w:val="00B366DD"/>
    <w:rsid w:val="00B419AC"/>
    <w:rsid w:val="00B534E0"/>
    <w:rsid w:val="00B562D8"/>
    <w:rsid w:val="00B920FA"/>
    <w:rsid w:val="00BC33EA"/>
    <w:rsid w:val="00BD1ED7"/>
    <w:rsid w:val="00C021CA"/>
    <w:rsid w:val="00C24975"/>
    <w:rsid w:val="00C359F2"/>
    <w:rsid w:val="00CB37DF"/>
    <w:rsid w:val="00CB62AB"/>
    <w:rsid w:val="00CB7744"/>
    <w:rsid w:val="00CC1399"/>
    <w:rsid w:val="00CC3E85"/>
    <w:rsid w:val="00CF3B0A"/>
    <w:rsid w:val="00CF4334"/>
    <w:rsid w:val="00CF5EA4"/>
    <w:rsid w:val="00D007F0"/>
    <w:rsid w:val="00D21E73"/>
    <w:rsid w:val="00D22AE9"/>
    <w:rsid w:val="00D354DB"/>
    <w:rsid w:val="00D40BC3"/>
    <w:rsid w:val="00D43205"/>
    <w:rsid w:val="00D47A97"/>
    <w:rsid w:val="00D52D7F"/>
    <w:rsid w:val="00DC0035"/>
    <w:rsid w:val="00E04D39"/>
    <w:rsid w:val="00E0751C"/>
    <w:rsid w:val="00E11FFC"/>
    <w:rsid w:val="00E34633"/>
    <w:rsid w:val="00E411AA"/>
    <w:rsid w:val="00E631E5"/>
    <w:rsid w:val="00E64D1C"/>
    <w:rsid w:val="00E8734C"/>
    <w:rsid w:val="00E87A6B"/>
    <w:rsid w:val="00E9030D"/>
    <w:rsid w:val="00E9374F"/>
    <w:rsid w:val="00E941B7"/>
    <w:rsid w:val="00EC07D3"/>
    <w:rsid w:val="00EC410F"/>
    <w:rsid w:val="00F01EEB"/>
    <w:rsid w:val="00F0561C"/>
    <w:rsid w:val="00F26525"/>
    <w:rsid w:val="00F57462"/>
    <w:rsid w:val="00F66087"/>
    <w:rsid w:val="00F67627"/>
    <w:rsid w:val="00F77803"/>
    <w:rsid w:val="00FE386E"/>
    <w:rsid w:val="00FE5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F2C8F401-A626-416E-A314-BFD5FA10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3643</TotalTime>
  <Pages>8</Pages>
  <Words>910</Words>
  <Characters>4953</Characters>
  <Application>Microsoft Office Word</Application>
  <DocSecurity>0</DocSecurity>
  <Lines>83</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117</cp:revision>
  <dcterms:created xsi:type="dcterms:W3CDTF">2018-10-06T17:09:00Z</dcterms:created>
  <dcterms:modified xsi:type="dcterms:W3CDTF">2019-10-18T00:28:00Z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