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60DA" w14:textId="47255E36" w:rsidR="00C6151C" w:rsidRPr="00655880" w:rsidRDefault="00FE1F1B" w:rsidP="00C6151C">
      <w:pPr>
        <w:rPr>
          <w:rFonts w:ascii="Calibri" w:hAnsi="Calibri"/>
          <w:b/>
          <w:color w:val="0E4E66"/>
          <w:sz w:val="24"/>
          <w:szCs w:val="24"/>
        </w:rPr>
      </w:pPr>
      <w:r w:rsidRPr="00655880">
        <w:rPr>
          <w:rFonts w:ascii="Calibri" w:hAnsi="Calibri"/>
          <w:noProof/>
        </w:rPr>
        <w:drawing>
          <wp:anchor distT="0" distB="0" distL="114300" distR="114300" simplePos="0" relativeHeight="251663360" behindDoc="0" locked="0" layoutInCell="1" allowOverlap="1" wp14:anchorId="1FECB756" wp14:editId="413F4055">
            <wp:simplePos x="0" y="0"/>
            <wp:positionH relativeFrom="margin">
              <wp:posOffset>-635</wp:posOffset>
            </wp:positionH>
            <wp:positionV relativeFrom="paragraph">
              <wp:posOffset>133350</wp:posOffset>
            </wp:positionV>
            <wp:extent cx="6086475" cy="2897505"/>
            <wp:effectExtent l="0" t="0" r="9525" b="0"/>
            <wp:wrapTopAndBottom/>
            <wp:docPr id="1" name="Picture 1" descr="Image result for oil and gas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il and gas indust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6475"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51C" w:rsidRPr="00655880">
        <w:rPr>
          <w:rFonts w:ascii="Calibri" w:hAnsi="Calibri"/>
          <w:noProof/>
        </w:rPr>
        <mc:AlternateContent>
          <mc:Choice Requires="wps">
            <w:drawing>
              <wp:anchor distT="0" distB="0" distL="114300" distR="114300" simplePos="0" relativeHeight="251662336" behindDoc="0" locked="0" layoutInCell="1" allowOverlap="1" wp14:anchorId="7AB8EB88" wp14:editId="175A5E8C">
                <wp:simplePos x="0" y="0"/>
                <wp:positionH relativeFrom="page">
                  <wp:align>right</wp:align>
                </wp:positionH>
                <wp:positionV relativeFrom="paragraph">
                  <wp:posOffset>-476250</wp:posOffset>
                </wp:positionV>
                <wp:extent cx="7848600" cy="409575"/>
                <wp:effectExtent l="0" t="0" r="0" b="9525"/>
                <wp:wrapNone/>
                <wp:docPr id="13" name="Rectangle 13"/>
                <wp:cNvGraphicFramePr/>
                <a:graphic xmlns:a="http://schemas.openxmlformats.org/drawingml/2006/main">
                  <a:graphicData uri="http://schemas.microsoft.com/office/word/2010/wordprocessingShape">
                    <wps:wsp>
                      <wps:cNvSpPr/>
                      <wps:spPr>
                        <a:xfrm>
                          <a:off x="0" y="0"/>
                          <a:ext cx="7848600" cy="409575"/>
                        </a:xfrm>
                        <a:prstGeom prst="rect">
                          <a:avLst/>
                        </a:prstGeom>
                        <a:gradFill>
                          <a:gsLst>
                            <a:gs pos="0">
                              <a:srgbClr val="9BD368"/>
                            </a:gs>
                            <a:gs pos="33000">
                              <a:srgbClr val="50B67F"/>
                            </a:gs>
                            <a:gs pos="66000">
                              <a:srgbClr val="249696"/>
                            </a:gs>
                            <a:gs pos="100000">
                              <a:srgbClr val="0E4E66"/>
                            </a:gs>
                          </a:gsLst>
                          <a:path path="rect">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B600D" w14:textId="77777777" w:rsidR="00C6151C" w:rsidRPr="003D6D14" w:rsidRDefault="003D6D14" w:rsidP="003D6D14">
                            <w:pPr>
                              <w:jc w:val="center"/>
                              <w:rPr>
                                <w:sz w:val="48"/>
                              </w:rPr>
                            </w:pPr>
                            <w:r>
                              <w:rPr>
                                <w:sz w:val="36"/>
                              </w:rPr>
                              <w:t>498Captial</w:t>
                            </w:r>
                            <w:r w:rsidR="00C6151C" w:rsidRPr="00AF22D6">
                              <w:rPr>
                                <w:sz w:val="36"/>
                              </w:rPr>
                              <w:t xml:space="preserve"> </w:t>
                            </w:r>
                            <w:r>
                              <w:rPr>
                                <w:sz w:val="36"/>
                              </w:rPr>
                              <w:t>– Project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8EB88" id="Rectangle 13" o:spid="_x0000_s1026" style="position:absolute;margin-left:566.8pt;margin-top:-37.5pt;width:618pt;height:32.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FA7wIAAJEGAAAOAAAAZHJzL2Uyb0RvYy54bWysVclu2zAQvRfoPxC8N5I3eUHkwFlcFAiS&#10;IEmRM01RlgCKZEl669d3hpQVNzV6KHqhh5x5j5rHmfHl1b6RZCusq7XKae8ipUQorotarXP6/XX5&#10;ZUKJ80wVTGolcnoQjl7NP3+63JmZ6OtKy0JYAiTKzXYmp5X3ZpYkjleiYe5CG6HAWWrbMA9bu04K&#10;y3bA3sikn6ZZstO2MFZz4Ryc3kYnnQf+shTcP5alE57InMK3+bDasK5wTeaXbLa2zFQ1bz+D/cNX&#10;NKxWcGlHdcs8Ixtb/0HV1Nxqp0t/wXWT6LKsuQg5QDa99EM2LxUzIuQC4jjTyeT+Hy1/2D5ZUhfw&#10;dgNKFGvgjZ5BNabWUhA4A4F2xs0g7sU82XbnwMRs96Vt8BfyIPsg6qETVew94XA4ngwnWQrac/AN&#10;0+loPELS5B1trPNfhW4IGjm1cH3Qkm3vnY+hx5BW4mJZSxlsByHRIEaDLmlAOrte3UhLtgyefXp9&#10;O8gm7Z1rdxo9GKTwZXjyG2KUXmfj5VlEBqmcQfSH02yanUX0AHAOkt4N77JTCCiyPqZjmK8ILidy&#10;lJDzq8bHwWJuabGiW7NVCkBBXSjqTiapMEelUbYYhicJPmx8ymD5gxQYJ9WzKKEm4PH6URzsRtEJ&#10;yjgXyveiq2KFiDqPQp6RPvQvIsKnBEJkxhQ67pbgPHekaeMRKkIzd+D2Df4G7hDhZq18B25qpe25&#10;zCRk1d4c448iRWlQJb9f7SEEzZUuDtA8Vsep4gxf1lDB98z5J2ZhjEDRw2j0j7CUUu9yqluLkkrb&#10;n+fOMR66G7yU7GAs5dT92DArKJHfFNT3tDcc4hwLm+Fo3IeNPfWsTj1q09xoLBYYwoYHE+O9PJql&#10;1c0bTNAF3goupjjcnVPu7XFz4+O4hBnMxWIRwmB2QXHeqxfDkRwFxg593b8xa9o29jAAHvRxhLHZ&#10;h26OsYhUerHxuqxDq7/r2koPcy/UUDujcbCe7kPU+z/J/BcAAAD//wMAUEsDBBQABgAIAAAAIQC5&#10;rStp3wAAAAkBAAAPAAAAZHJzL2Rvd25yZXYueG1sTI9Bb8IwDIXvk/gPkZF2gxSmwlSaoqnTTtMm&#10;DZDGMTReG61xuiZA2a+fObHbs5/1/L18PbhWnLAP1pOC2TQBgVR5Y6lWsNu+TB5BhKjJ6NYTKrhg&#10;gHUxust1ZvyZPvC0ibXgEAqZVtDE2GVShqpBp8PUd0jsffne6chjX0vT6zOHu1bOk2QhnbbEHxrd&#10;Ydlg9b05OgVvz79D+vP6bn2sw85WF/9Zlnul7sfD0wpExCHejuGKz+hQMNPBH8kE0SrgIlHBZJmy&#10;uNrzhwWrA69mSQqyyOX/BsUfAAAA//8DAFBLAQItABQABgAIAAAAIQC2gziS/gAAAOEBAAATAAAA&#10;AAAAAAAAAAAAAAAAAABbQ29udGVudF9UeXBlc10ueG1sUEsBAi0AFAAGAAgAAAAhADj9If/WAAAA&#10;lAEAAAsAAAAAAAAAAAAAAAAALwEAAF9yZWxzLy5yZWxzUEsBAi0AFAAGAAgAAAAhAKFrgUDvAgAA&#10;kQYAAA4AAAAAAAAAAAAAAAAALgIAAGRycy9lMm9Eb2MueG1sUEsBAi0AFAAGAAgAAAAhALmtK2nf&#10;AAAACQEAAA8AAAAAAAAAAAAAAAAASQUAAGRycy9kb3ducmV2LnhtbFBLBQYAAAAABAAEAPMAAABV&#10;BgAAAAA=&#10;" fillcolor="#9bd368" stroked="f" strokeweight="1.25pt">
                <v:fill color2="#0e4e66" focusposition="1,1" focussize="" colors="0 #9bd368;21627f #50b67f;43254f #249696;1 #0e4e66" focus="100%" type="gradientRadial">
                  <o:fill v:ext="view" type="gradientCenter"/>
                </v:fill>
                <v:stroke endcap="round"/>
                <v:textbox>
                  <w:txbxContent>
                    <w:p w14:paraId="284B600D" w14:textId="77777777" w:rsidR="00C6151C" w:rsidRPr="003D6D14" w:rsidRDefault="003D6D14" w:rsidP="003D6D14">
                      <w:pPr>
                        <w:jc w:val="center"/>
                        <w:rPr>
                          <w:sz w:val="48"/>
                        </w:rPr>
                      </w:pPr>
                      <w:r>
                        <w:rPr>
                          <w:sz w:val="36"/>
                        </w:rPr>
                        <w:t>498Captial</w:t>
                      </w:r>
                      <w:r w:rsidR="00C6151C" w:rsidRPr="00AF22D6">
                        <w:rPr>
                          <w:sz w:val="36"/>
                        </w:rPr>
                        <w:t xml:space="preserve"> </w:t>
                      </w:r>
                      <w:r>
                        <w:rPr>
                          <w:sz w:val="36"/>
                        </w:rPr>
                        <w:t>– Project Goals</w:t>
                      </w:r>
                    </w:p>
                  </w:txbxContent>
                </v:textbox>
                <w10:wrap anchorx="page"/>
              </v:rect>
            </w:pict>
          </mc:Fallback>
        </mc:AlternateContent>
      </w:r>
    </w:p>
    <w:p w14:paraId="6927B838" w14:textId="3697E639" w:rsidR="000E7A27" w:rsidRPr="00655880" w:rsidRDefault="00406A5A" w:rsidP="00452C42">
      <w:pPr>
        <w:rPr>
          <w:rFonts w:ascii="Calibri" w:hAnsi="Calibri"/>
          <w:color w:val="249696"/>
          <w:sz w:val="28"/>
        </w:rPr>
      </w:pPr>
      <w:r>
        <w:rPr>
          <w:rFonts w:ascii="Calibri" w:hAnsi="Calibri"/>
          <w:color w:val="249696"/>
          <w:sz w:val="28"/>
        </w:rPr>
        <w:t>Overview</w:t>
      </w:r>
    </w:p>
    <w:p w14:paraId="448A2F31" w14:textId="77777777" w:rsidR="0067320A" w:rsidRDefault="000E7A27" w:rsidP="00406A5A">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 xml:space="preserve">The main objective of the project is to model the price movements and forecasts of </w:t>
      </w:r>
      <w:r w:rsidR="00C412D4">
        <w:rPr>
          <w:rFonts w:ascii="Calibri" w:hAnsi="Calibri" w:cstheme="minorHAnsi"/>
          <w:color w:val="000000"/>
          <w:sz w:val="22"/>
          <w:szCs w:val="22"/>
        </w:rPr>
        <w:t xml:space="preserve">energy commodities, including </w:t>
      </w:r>
      <w:r w:rsidRPr="00655880">
        <w:rPr>
          <w:rFonts w:ascii="Calibri" w:hAnsi="Calibri" w:cstheme="minorHAnsi"/>
          <w:color w:val="000000"/>
          <w:sz w:val="22"/>
          <w:szCs w:val="22"/>
        </w:rPr>
        <w:t>gasoline, heating oil</w:t>
      </w:r>
      <w:r w:rsidR="00C412D4">
        <w:rPr>
          <w:rFonts w:ascii="Calibri" w:hAnsi="Calibri" w:cstheme="minorHAnsi"/>
          <w:color w:val="000000"/>
          <w:sz w:val="22"/>
          <w:szCs w:val="22"/>
        </w:rPr>
        <w:t>, crude (WTI and Brent) and natural gas</w:t>
      </w:r>
      <w:r w:rsidRPr="00655880">
        <w:rPr>
          <w:rFonts w:ascii="Calibri" w:hAnsi="Calibri" w:cstheme="minorHAnsi"/>
          <w:color w:val="000000"/>
          <w:sz w:val="22"/>
          <w:szCs w:val="22"/>
        </w:rPr>
        <w:t>.</w:t>
      </w:r>
      <w:r w:rsidR="00255099">
        <w:rPr>
          <w:rFonts w:ascii="Calibri" w:hAnsi="Calibri" w:cstheme="minorHAnsi"/>
          <w:color w:val="000000"/>
          <w:sz w:val="22"/>
          <w:szCs w:val="22"/>
        </w:rPr>
        <w:t xml:space="preserve"> We will be developing a proprietary data source derived from publicly available information published to the primary commodity exchanges. Using this bespoke dataset, o</w:t>
      </w:r>
      <w:r w:rsidR="00E86C01">
        <w:rPr>
          <w:rFonts w:ascii="Calibri" w:hAnsi="Calibri" w:cstheme="minorHAnsi"/>
          <w:color w:val="000000"/>
          <w:sz w:val="22"/>
          <w:szCs w:val="22"/>
        </w:rPr>
        <w:t xml:space="preserve">ur research </w:t>
      </w:r>
      <w:r w:rsidR="00BB2A82">
        <w:rPr>
          <w:rFonts w:ascii="Calibri" w:hAnsi="Calibri" w:cstheme="minorHAnsi"/>
          <w:color w:val="000000"/>
          <w:sz w:val="22"/>
          <w:szCs w:val="22"/>
        </w:rPr>
        <w:t xml:space="preserve">efforts </w:t>
      </w:r>
      <w:r w:rsidR="00E86C01">
        <w:rPr>
          <w:rFonts w:ascii="Calibri" w:hAnsi="Calibri" w:cstheme="minorHAnsi"/>
          <w:color w:val="000000"/>
          <w:sz w:val="22"/>
          <w:szCs w:val="22"/>
        </w:rPr>
        <w:t xml:space="preserve">will be </w:t>
      </w:r>
      <w:r w:rsidR="00255099">
        <w:rPr>
          <w:rFonts w:ascii="Calibri" w:hAnsi="Calibri" w:cstheme="minorHAnsi"/>
          <w:color w:val="000000"/>
          <w:sz w:val="22"/>
          <w:szCs w:val="22"/>
        </w:rPr>
        <w:t xml:space="preserve">focused on using our domain-knowledge as well as our analytical and quantitative technical capabilities to </w:t>
      </w:r>
      <w:r w:rsidRPr="00655880">
        <w:rPr>
          <w:rFonts w:ascii="Calibri" w:hAnsi="Calibri" w:cstheme="minorHAnsi"/>
          <w:color w:val="000000"/>
          <w:sz w:val="22"/>
          <w:szCs w:val="22"/>
        </w:rPr>
        <w:t>develop predictive models</w:t>
      </w:r>
      <w:r w:rsidR="00255099">
        <w:rPr>
          <w:rFonts w:ascii="Calibri" w:hAnsi="Calibri" w:cstheme="minorHAnsi"/>
          <w:color w:val="000000"/>
          <w:sz w:val="22"/>
          <w:szCs w:val="22"/>
        </w:rPr>
        <w:t xml:space="preserve"> as they </w:t>
      </w:r>
      <w:r w:rsidR="00F9103D">
        <w:rPr>
          <w:rFonts w:ascii="Calibri" w:hAnsi="Calibri" w:cstheme="minorHAnsi"/>
          <w:color w:val="000000"/>
          <w:sz w:val="22"/>
          <w:szCs w:val="22"/>
        </w:rPr>
        <w:t>relate</w:t>
      </w:r>
      <w:r w:rsidR="00255099">
        <w:rPr>
          <w:rFonts w:ascii="Calibri" w:hAnsi="Calibri" w:cstheme="minorHAnsi"/>
          <w:color w:val="000000"/>
          <w:sz w:val="22"/>
          <w:szCs w:val="22"/>
        </w:rPr>
        <w:t xml:space="preserve"> to</w:t>
      </w:r>
      <w:r w:rsidRPr="00655880">
        <w:rPr>
          <w:rFonts w:ascii="Calibri" w:hAnsi="Calibri" w:cstheme="minorHAnsi"/>
          <w:color w:val="000000"/>
          <w:sz w:val="22"/>
          <w:szCs w:val="22"/>
        </w:rPr>
        <w:t xml:space="preserve"> </w:t>
      </w:r>
      <w:r w:rsidR="00BA632B">
        <w:rPr>
          <w:rFonts w:ascii="Calibri" w:hAnsi="Calibri" w:cstheme="minorHAnsi"/>
          <w:color w:val="000000"/>
          <w:sz w:val="22"/>
          <w:szCs w:val="22"/>
        </w:rPr>
        <w:t xml:space="preserve">understanding the </w:t>
      </w:r>
      <w:r w:rsidR="00255099">
        <w:rPr>
          <w:rFonts w:ascii="Calibri" w:hAnsi="Calibri" w:cstheme="minorHAnsi"/>
          <w:color w:val="000000"/>
          <w:sz w:val="22"/>
          <w:szCs w:val="22"/>
        </w:rPr>
        <w:t xml:space="preserve">financial markets for </w:t>
      </w:r>
      <w:r w:rsidR="00406A5A">
        <w:rPr>
          <w:rFonts w:ascii="Calibri" w:hAnsi="Calibri" w:cstheme="minorHAnsi"/>
          <w:color w:val="000000"/>
          <w:sz w:val="22"/>
          <w:szCs w:val="22"/>
        </w:rPr>
        <w:t>energy commodit</w:t>
      </w:r>
      <w:r w:rsidR="00255099">
        <w:rPr>
          <w:rFonts w:ascii="Calibri" w:hAnsi="Calibri" w:cstheme="minorHAnsi"/>
          <w:color w:val="000000"/>
          <w:sz w:val="22"/>
          <w:szCs w:val="22"/>
        </w:rPr>
        <w:t>ies.</w:t>
      </w:r>
      <w:r w:rsidR="0067320A">
        <w:rPr>
          <w:rFonts w:ascii="Calibri" w:hAnsi="Calibri" w:cstheme="minorHAnsi"/>
          <w:color w:val="000000"/>
          <w:sz w:val="22"/>
          <w:szCs w:val="22"/>
        </w:rPr>
        <w:t xml:space="preserve"> </w:t>
      </w:r>
    </w:p>
    <w:p w14:paraId="72CF66F3" w14:textId="77777777" w:rsidR="00DC4993" w:rsidRDefault="0067320A" w:rsidP="00DC4993">
      <w:pPr>
        <w:pStyle w:val="p"/>
        <w:spacing w:before="0" w:beforeAutospacing="0" w:after="225" w:afterAutospacing="0" w:line="480" w:lineRule="auto"/>
        <w:rPr>
          <w:rFonts w:ascii="Calibri" w:hAnsi="Calibri" w:cstheme="minorHAnsi"/>
          <w:color w:val="000000"/>
          <w:sz w:val="22"/>
          <w:szCs w:val="22"/>
        </w:rPr>
      </w:pPr>
      <w:r>
        <w:rPr>
          <w:rFonts w:ascii="Calibri" w:hAnsi="Calibri" w:cstheme="minorHAnsi"/>
          <w:color w:val="000000"/>
          <w:sz w:val="22"/>
          <w:szCs w:val="22"/>
        </w:rPr>
        <w:t>O</w:t>
      </w:r>
      <w:r w:rsidR="00B8337C">
        <w:rPr>
          <w:rFonts w:ascii="Calibri" w:hAnsi="Calibri" w:cstheme="minorHAnsi"/>
          <w:color w:val="000000"/>
          <w:sz w:val="22"/>
          <w:szCs w:val="22"/>
        </w:rPr>
        <w:t xml:space="preserve">ur goal here is to not only model and predict the behavior of the commodity’s </w:t>
      </w:r>
      <w:r w:rsidR="00B8337C">
        <w:rPr>
          <w:rFonts w:ascii="Calibri" w:hAnsi="Calibri" w:cstheme="minorHAnsi"/>
          <w:color w:val="000000"/>
          <w:sz w:val="22"/>
          <w:szCs w:val="22"/>
        </w:rPr>
        <w:t xml:space="preserve">financial  </w:t>
      </w:r>
      <w:r w:rsidR="00B8337C">
        <w:rPr>
          <w:rFonts w:ascii="Calibri" w:hAnsi="Calibri" w:cstheme="minorHAnsi"/>
          <w:color w:val="000000"/>
          <w:sz w:val="22"/>
          <w:szCs w:val="22"/>
        </w:rPr>
        <w:t xml:space="preserve">markets, but to successfully </w:t>
      </w:r>
      <w:r w:rsidR="00406A5A">
        <w:rPr>
          <w:rFonts w:ascii="Calibri" w:hAnsi="Calibri" w:cstheme="minorHAnsi"/>
          <w:color w:val="000000"/>
          <w:sz w:val="22"/>
          <w:szCs w:val="22"/>
        </w:rPr>
        <w:t xml:space="preserve">derive active market strategies that are able to consistently generate a profit, at a lower risk premium, than corresponding passively traded </w:t>
      </w:r>
      <w:r w:rsidR="00C92BB1">
        <w:rPr>
          <w:rFonts w:ascii="Calibri" w:hAnsi="Calibri" w:cstheme="minorHAnsi"/>
          <w:color w:val="000000"/>
          <w:sz w:val="22"/>
          <w:szCs w:val="22"/>
        </w:rPr>
        <w:t>investment vehicles</w:t>
      </w:r>
      <w:r w:rsidR="00F9103D">
        <w:rPr>
          <w:rFonts w:ascii="Calibri" w:hAnsi="Calibri" w:cstheme="minorHAnsi"/>
          <w:color w:val="000000"/>
          <w:sz w:val="22"/>
          <w:szCs w:val="22"/>
        </w:rPr>
        <w:t xml:space="preserve"> that are available to the public investment</w:t>
      </w:r>
      <w:r>
        <w:rPr>
          <w:rFonts w:ascii="Calibri" w:hAnsi="Calibri" w:cstheme="minorHAnsi"/>
          <w:color w:val="000000"/>
          <w:sz w:val="22"/>
          <w:szCs w:val="22"/>
        </w:rPr>
        <w:t xml:space="preserve">. </w:t>
      </w:r>
      <w:r w:rsidR="008D6EBC">
        <w:rPr>
          <w:rFonts w:ascii="Calibri" w:hAnsi="Calibri" w:cstheme="minorHAnsi"/>
          <w:color w:val="000000"/>
          <w:sz w:val="22"/>
          <w:szCs w:val="22"/>
        </w:rPr>
        <w:t xml:space="preserve">If successful, we would have a product that would serve as an attractive alternative to the public passive investment options that currently account for 45% of the US stock market, or about </w:t>
      </w:r>
      <w:r w:rsidR="00251007">
        <w:rPr>
          <w:rFonts w:ascii="Calibri" w:hAnsi="Calibri" w:cstheme="minorHAnsi"/>
          <w:color w:val="000000"/>
          <w:sz w:val="22"/>
          <w:szCs w:val="22"/>
        </w:rPr>
        <w:t>$</w:t>
      </w:r>
      <w:r w:rsidR="008D6EBC">
        <w:rPr>
          <w:rFonts w:ascii="Calibri" w:hAnsi="Calibri" w:cstheme="minorHAnsi"/>
          <w:color w:val="000000"/>
          <w:sz w:val="22"/>
          <w:szCs w:val="22"/>
        </w:rPr>
        <w:t xml:space="preserve">3.7 </w:t>
      </w:r>
      <w:r w:rsidR="008D6EBC" w:rsidRPr="00876A6C">
        <w:rPr>
          <w:rFonts w:ascii="Calibri" w:hAnsi="Calibri" w:cstheme="minorHAnsi"/>
          <w:i/>
          <w:iCs/>
          <w:color w:val="000000"/>
          <w:sz w:val="22"/>
          <w:szCs w:val="22"/>
        </w:rPr>
        <w:t>trillion</w:t>
      </w:r>
      <w:r w:rsidR="008D6EBC">
        <w:rPr>
          <w:rFonts w:ascii="Calibri" w:hAnsi="Calibri" w:cstheme="minorHAnsi"/>
          <w:color w:val="000000"/>
          <w:sz w:val="22"/>
          <w:szCs w:val="22"/>
        </w:rPr>
        <w:t xml:space="preserve"> dollars</w:t>
      </w:r>
      <w:r w:rsidR="00876A6C" w:rsidRPr="00876A6C">
        <w:rPr>
          <w:rFonts w:ascii="Calibri" w:hAnsi="Calibri" w:cstheme="minorHAnsi"/>
          <w:color w:val="000000"/>
          <w:sz w:val="22"/>
          <w:szCs w:val="22"/>
          <w:vertAlign w:val="superscript"/>
        </w:rPr>
        <w:t>3</w:t>
      </w:r>
      <w:r w:rsidR="008D6EBC">
        <w:rPr>
          <w:rFonts w:ascii="Calibri" w:hAnsi="Calibri" w:cstheme="minorHAnsi"/>
          <w:color w:val="000000"/>
          <w:sz w:val="22"/>
          <w:szCs w:val="22"/>
        </w:rPr>
        <w:t>.</w:t>
      </w:r>
    </w:p>
    <w:p w14:paraId="5C7D85F5" w14:textId="13B8CBCB" w:rsidR="00267E69" w:rsidRPr="00655880" w:rsidRDefault="00FD3712" w:rsidP="000E4D0C">
      <w:pPr>
        <w:jc w:val="center"/>
        <w:rPr>
          <w:rFonts w:ascii="Calibri" w:hAnsi="Calibri"/>
          <w:color w:val="249696"/>
          <w:sz w:val="28"/>
        </w:rPr>
      </w:pPr>
      <w:r>
        <w:rPr>
          <w:rFonts w:ascii="Calibri" w:hAnsi="Calibri"/>
          <w:color w:val="249696"/>
          <w:sz w:val="28"/>
        </w:rPr>
        <w:lastRenderedPageBreak/>
        <w:t>Project</w:t>
      </w:r>
      <w:r w:rsidR="00267E69">
        <w:rPr>
          <w:rFonts w:ascii="Calibri" w:hAnsi="Calibri"/>
          <w:color w:val="249696"/>
          <w:sz w:val="28"/>
        </w:rPr>
        <w:t xml:space="preserve"> Outline</w:t>
      </w:r>
    </w:p>
    <w:p w14:paraId="025376B6" w14:textId="593E4997" w:rsidR="00FD3712" w:rsidRDefault="00675E5F" w:rsidP="00FD3712">
      <w:pPr>
        <w:spacing w:line="480" w:lineRule="auto"/>
        <w:rPr>
          <w:rFonts w:ascii="Calibri" w:hAnsi="Calibri"/>
          <w:color w:val="50B67F"/>
          <w:sz w:val="24"/>
        </w:rPr>
      </w:pPr>
      <w:r>
        <w:rPr>
          <w:rFonts w:ascii="Calibri" w:hAnsi="Calibri"/>
          <w:color w:val="50B67F"/>
          <w:sz w:val="24"/>
        </w:rPr>
        <w:t xml:space="preserve">Problem Statement / </w:t>
      </w:r>
      <w:r w:rsidR="00DB7BC2">
        <w:rPr>
          <w:rFonts w:ascii="Calibri" w:hAnsi="Calibri"/>
          <w:color w:val="50B67F"/>
          <w:sz w:val="24"/>
        </w:rPr>
        <w:t>Project Proposal</w:t>
      </w:r>
    </w:p>
    <w:p w14:paraId="0096E70B" w14:textId="3FDF023E" w:rsidR="00C32F6F" w:rsidRPr="00DB7BC2" w:rsidRDefault="00887B43" w:rsidP="00FD3712">
      <w:pPr>
        <w:spacing w:line="480" w:lineRule="auto"/>
        <w:rPr>
          <w:rFonts w:ascii="Calibri" w:hAnsi="Calibri"/>
          <w:color w:val="50B67F"/>
          <w:sz w:val="24"/>
        </w:rPr>
      </w:pPr>
      <w:r w:rsidRPr="00FD3712">
        <w:rPr>
          <w:rFonts w:ascii="Calibri" w:hAnsi="Calibri"/>
        </w:rPr>
        <w:t>Required background knowledge to bring problem into context</w:t>
      </w:r>
      <w:r w:rsidR="00FD3712">
        <w:rPr>
          <w:rFonts w:ascii="Calibri" w:hAnsi="Calibri"/>
        </w:rPr>
        <w:t xml:space="preserve"> / w</w:t>
      </w:r>
      <w:r w:rsidR="007253D3" w:rsidRPr="00FD3712">
        <w:rPr>
          <w:rFonts w:ascii="Calibri" w:hAnsi="Calibri"/>
        </w:rPr>
        <w:t xml:space="preserve">hy our solution </w:t>
      </w:r>
      <w:r w:rsidR="002F45E6" w:rsidRPr="00FD3712">
        <w:rPr>
          <w:rFonts w:ascii="Calibri" w:hAnsi="Calibri"/>
        </w:rPr>
        <w:t>matters and</w:t>
      </w:r>
      <w:r w:rsidR="007253D3" w:rsidRPr="00FD3712">
        <w:rPr>
          <w:rFonts w:ascii="Calibri" w:hAnsi="Calibri"/>
        </w:rPr>
        <w:t xml:space="preserve"> is relevant to the problem at hand.</w:t>
      </w:r>
      <w:r w:rsidR="00DB7BC2">
        <w:rPr>
          <w:rFonts w:ascii="Calibri" w:hAnsi="Calibri"/>
          <w:color w:val="50B67F"/>
          <w:sz w:val="24"/>
        </w:rPr>
        <w:t xml:space="preserve"> </w:t>
      </w:r>
      <w:r w:rsidR="00C32F6F" w:rsidRPr="00FD3712">
        <w:rPr>
          <w:rFonts w:ascii="Calibri" w:hAnsi="Calibri"/>
        </w:rPr>
        <w:t>An overview of our view of the current marketplace, and its limitations</w:t>
      </w:r>
      <w:r w:rsidR="00FD3712">
        <w:rPr>
          <w:rFonts w:ascii="Calibri" w:hAnsi="Calibri"/>
        </w:rPr>
        <w:t xml:space="preserve"> and a</w:t>
      </w:r>
      <w:r w:rsidR="00C32F6F">
        <w:rPr>
          <w:rFonts w:ascii="Calibri" w:hAnsi="Calibri"/>
        </w:rPr>
        <w:t xml:space="preserve"> detailed look into our proposed solution, and what we want to achieve.</w:t>
      </w:r>
    </w:p>
    <w:p w14:paraId="1CE0B6A0" w14:textId="02339796" w:rsidR="00FD3712" w:rsidRDefault="001000E3" w:rsidP="00FD3712">
      <w:pPr>
        <w:spacing w:line="480" w:lineRule="auto"/>
        <w:rPr>
          <w:rFonts w:ascii="Calibri" w:hAnsi="Calibri"/>
          <w:color w:val="249696"/>
          <w:sz w:val="28"/>
        </w:rPr>
      </w:pPr>
      <w:r>
        <w:rPr>
          <w:rFonts w:ascii="Calibri" w:hAnsi="Calibri"/>
          <w:color w:val="50B67F"/>
          <w:sz w:val="24"/>
        </w:rPr>
        <w:t xml:space="preserve">Working </w:t>
      </w:r>
      <w:r w:rsidR="00267E69" w:rsidRPr="00D60515">
        <w:rPr>
          <w:rFonts w:ascii="Calibri" w:hAnsi="Calibri"/>
          <w:color w:val="50B67F"/>
          <w:sz w:val="24"/>
        </w:rPr>
        <w:t>Assumptions</w:t>
      </w:r>
    </w:p>
    <w:p w14:paraId="078E3282" w14:textId="373D94D8" w:rsidR="00267E69" w:rsidRPr="00307921" w:rsidRDefault="00267E69" w:rsidP="00307921">
      <w:pPr>
        <w:spacing w:line="480" w:lineRule="auto"/>
        <w:rPr>
          <w:rFonts w:ascii="Calibri" w:hAnsi="Calibri"/>
          <w:color w:val="249696"/>
          <w:sz w:val="28"/>
        </w:rPr>
      </w:pPr>
      <w:r w:rsidRPr="00FD3712">
        <w:rPr>
          <w:rFonts w:ascii="Calibri" w:hAnsi="Calibri"/>
        </w:rPr>
        <w:t>It is possible to predict the future price of gasoline and heating oil with the data given</w:t>
      </w:r>
      <w:r w:rsidR="00307921">
        <w:rPr>
          <w:rFonts w:ascii="Calibri" w:hAnsi="Calibri"/>
        </w:rPr>
        <w:t xml:space="preserve"> and t</w:t>
      </w:r>
      <w:r w:rsidRPr="00307921">
        <w:rPr>
          <w:rFonts w:ascii="Calibri" w:hAnsi="Calibri"/>
        </w:rPr>
        <w:t>he project team has the required technology and available information to build a mobile application</w:t>
      </w:r>
      <w:r w:rsidR="00B5477D" w:rsidRPr="00307921">
        <w:rPr>
          <w:rFonts w:ascii="Calibri" w:hAnsi="Calibri"/>
        </w:rPr>
        <w:t>.</w:t>
      </w:r>
    </w:p>
    <w:p w14:paraId="55DB755E" w14:textId="77777777" w:rsidR="00BB6E58" w:rsidRDefault="00267E69" w:rsidP="00BB6E58">
      <w:pPr>
        <w:spacing w:line="480" w:lineRule="auto"/>
        <w:rPr>
          <w:rFonts w:ascii="Calibri" w:hAnsi="Calibri"/>
          <w:color w:val="249696"/>
          <w:sz w:val="28"/>
        </w:rPr>
      </w:pPr>
      <w:r w:rsidRPr="00D60515">
        <w:rPr>
          <w:rFonts w:ascii="Calibri" w:hAnsi="Calibri"/>
          <w:color w:val="50B67F"/>
          <w:sz w:val="24"/>
        </w:rPr>
        <w:t>Constraints</w:t>
      </w:r>
      <w:bookmarkStart w:id="0" w:name="_GoBack"/>
      <w:bookmarkEnd w:id="0"/>
    </w:p>
    <w:p w14:paraId="00CE8F6A" w14:textId="7B1A3142" w:rsidR="00267E69" w:rsidRPr="00BB6E58" w:rsidRDefault="00BB6E58" w:rsidP="00BB6E58">
      <w:pPr>
        <w:spacing w:line="480" w:lineRule="auto"/>
        <w:rPr>
          <w:rFonts w:ascii="Calibri" w:hAnsi="Calibri"/>
          <w:color w:val="249696"/>
          <w:sz w:val="28"/>
        </w:rPr>
      </w:pPr>
      <w:r>
        <w:rPr>
          <w:rFonts w:ascii="Calibri" w:hAnsi="Calibri"/>
        </w:rPr>
        <w:t>Managing resources are the key to success in any project, and this one is no exception. T</w:t>
      </w:r>
      <w:r w:rsidR="00267E69" w:rsidRPr="00BB6E58">
        <w:rPr>
          <w:rFonts w:ascii="Calibri" w:hAnsi="Calibri"/>
        </w:rPr>
        <w:t>he CEO has given only 10 weeks for the project to finish</w:t>
      </w:r>
      <w:r w:rsidR="005452A8" w:rsidRPr="00BB6E58">
        <w:rPr>
          <w:rFonts w:ascii="Calibri" w:hAnsi="Calibri"/>
        </w:rPr>
        <w:t>.</w:t>
      </w:r>
      <w:r>
        <w:rPr>
          <w:rFonts w:ascii="Calibri" w:hAnsi="Calibri"/>
          <w:color w:val="249696"/>
          <w:sz w:val="28"/>
        </w:rPr>
        <w:t xml:space="preserve"> </w:t>
      </w:r>
      <w:r>
        <w:rPr>
          <w:rFonts w:ascii="Calibri" w:hAnsi="Calibri"/>
        </w:rPr>
        <w:t xml:space="preserve">Additionally, </w:t>
      </w:r>
      <w:r w:rsidR="00267E69" w:rsidRPr="00BB6E58">
        <w:rPr>
          <w:rFonts w:ascii="Calibri" w:hAnsi="Calibri"/>
        </w:rPr>
        <w:t xml:space="preserve">we </w:t>
      </w:r>
      <w:r>
        <w:rPr>
          <w:rFonts w:ascii="Calibri" w:hAnsi="Calibri"/>
        </w:rPr>
        <w:t xml:space="preserve">are budget conscious and </w:t>
      </w:r>
      <w:r w:rsidR="00267E69" w:rsidRPr="00BB6E58">
        <w:rPr>
          <w:rFonts w:ascii="Calibri" w:hAnsi="Calibri"/>
        </w:rPr>
        <w:t>will not purchase any additional data from Bloomberg, Morningstar, MSCI, etcetera to supplement our current data</w:t>
      </w:r>
      <w:r w:rsidR="00C2263A">
        <w:rPr>
          <w:rFonts w:ascii="Calibri" w:hAnsi="Calibri"/>
        </w:rPr>
        <w:t>set. Instead, we will rely on our domain expertise and technical prowess to overcompensate for lack of material resources.</w:t>
      </w:r>
    </w:p>
    <w:p w14:paraId="59CA8E7F" w14:textId="39E18051" w:rsidR="00780164" w:rsidRDefault="00452C42" w:rsidP="00780164">
      <w:pPr>
        <w:spacing w:line="480" w:lineRule="auto"/>
        <w:rPr>
          <w:rFonts w:ascii="Calibri" w:hAnsi="Calibri"/>
          <w:color w:val="249696"/>
          <w:sz w:val="28"/>
        </w:rPr>
      </w:pPr>
      <w:r w:rsidRPr="00452C42">
        <w:rPr>
          <w:rFonts w:ascii="Calibri" w:hAnsi="Calibri"/>
          <w:color w:val="50B67F"/>
          <w:sz w:val="24"/>
        </w:rPr>
        <w:t>Dependencies</w:t>
      </w:r>
    </w:p>
    <w:p w14:paraId="3AA50CDE" w14:textId="48B4F241" w:rsidR="001F1DA4" w:rsidRDefault="00452C42" w:rsidP="00DB7BC2">
      <w:pPr>
        <w:spacing w:line="480" w:lineRule="auto"/>
        <w:rPr>
          <w:rFonts w:ascii="Calibri" w:hAnsi="Calibri"/>
        </w:rPr>
      </w:pPr>
      <w:r w:rsidRPr="00780164">
        <w:rPr>
          <w:rFonts w:ascii="Calibri" w:hAnsi="Calibri"/>
        </w:rPr>
        <w:t>Availability of resources across the necessary core team will impact the timeliness and quality of the final deliverables</w:t>
      </w:r>
      <w:r w:rsidR="000E4D0C" w:rsidRPr="00780164">
        <w:rPr>
          <w:rFonts w:ascii="Calibri" w:hAnsi="Calibri"/>
        </w:rPr>
        <w:t>.</w:t>
      </w:r>
      <w:r w:rsidR="00780164">
        <w:rPr>
          <w:rFonts w:ascii="Calibri" w:hAnsi="Calibri"/>
          <w:color w:val="249696"/>
          <w:sz w:val="28"/>
        </w:rPr>
        <w:t xml:space="preserve"> </w:t>
      </w:r>
      <w:r w:rsidRPr="00780164">
        <w:rPr>
          <w:rFonts w:ascii="Calibri" w:hAnsi="Calibri"/>
        </w:rPr>
        <w:t>The modeling is dependent on finding statistically significant relationships in the base data</w:t>
      </w:r>
      <w:r w:rsidR="000E4D0C" w:rsidRPr="00780164">
        <w:rPr>
          <w:rFonts w:ascii="Calibri" w:hAnsi="Calibri"/>
        </w:rPr>
        <w:t>.</w:t>
      </w:r>
      <w:r w:rsidR="00DB7BC2">
        <w:rPr>
          <w:rFonts w:ascii="Calibri" w:hAnsi="Calibri"/>
        </w:rPr>
        <w:t xml:space="preserve"> </w:t>
      </w:r>
      <w:r w:rsidRPr="00655880">
        <w:rPr>
          <w:rFonts w:ascii="Calibri" w:hAnsi="Calibri"/>
        </w:rPr>
        <w:t>The recommended trading strategies are dependent on finding meaningful outcomes from the predictive model</w:t>
      </w:r>
      <w:r w:rsidR="000E4D0C">
        <w:rPr>
          <w:rFonts w:ascii="Calibri" w:hAnsi="Calibri"/>
        </w:rPr>
        <w:t>.</w:t>
      </w:r>
    </w:p>
    <w:p w14:paraId="60BE789C" w14:textId="77777777" w:rsidR="00C265A2" w:rsidRPr="00827D3D" w:rsidRDefault="00C265A2" w:rsidP="00DB7BC2">
      <w:pPr>
        <w:spacing w:line="480" w:lineRule="auto"/>
        <w:rPr>
          <w:rFonts w:ascii="Calibri" w:hAnsi="Calibri"/>
        </w:rPr>
      </w:pPr>
    </w:p>
    <w:p w14:paraId="7F8E47D0" w14:textId="39422C2A" w:rsidR="008400FD" w:rsidRPr="001F1DA4" w:rsidRDefault="00FF76AB" w:rsidP="001F1DA4">
      <w:pPr>
        <w:rPr>
          <w:rFonts w:ascii="Calibri" w:hAnsi="Calibri"/>
        </w:rPr>
      </w:pPr>
      <w:r w:rsidRPr="001F1DA4">
        <w:rPr>
          <w:rFonts w:ascii="Calibri" w:hAnsi="Calibri"/>
          <w:color w:val="249696"/>
          <w:sz w:val="28"/>
          <w:szCs w:val="28"/>
        </w:rPr>
        <w:lastRenderedPageBreak/>
        <w:t>Problem Statement / Background</w:t>
      </w:r>
    </w:p>
    <w:p w14:paraId="11EFD879" w14:textId="77777777" w:rsidR="00EF5704" w:rsidRDefault="00EF5704" w:rsidP="00990B4A">
      <w:pPr>
        <w:pStyle w:val="p"/>
        <w:spacing w:before="0" w:beforeAutospacing="0" w:after="225" w:afterAutospacing="0"/>
        <w:rPr>
          <w:rFonts w:ascii="Calibri" w:hAnsi="Calibri"/>
          <w:color w:val="249696"/>
          <w:sz w:val="28"/>
          <w:szCs w:val="28"/>
        </w:rPr>
      </w:pPr>
    </w:p>
    <w:p w14:paraId="00531899" w14:textId="77777777" w:rsidR="00CE2D39" w:rsidRDefault="003D6D14" w:rsidP="00DC4993">
      <w:pPr>
        <w:pStyle w:val="p"/>
        <w:spacing w:before="0" w:beforeAutospacing="0" w:after="225" w:afterAutospacing="0" w:line="480" w:lineRule="auto"/>
        <w:rPr>
          <w:rFonts w:ascii="Calibri" w:hAnsi="Calibri" w:cstheme="minorHAnsi"/>
          <w:sz w:val="22"/>
          <w:szCs w:val="22"/>
        </w:rPr>
      </w:pPr>
      <w:r w:rsidRPr="00DC4993">
        <w:rPr>
          <w:rFonts w:ascii="Calibri" w:hAnsi="Calibri" w:cstheme="minorHAnsi"/>
          <w:sz w:val="22"/>
          <w:szCs w:val="22"/>
        </w:rPr>
        <w:t xml:space="preserve">Commodities are highly </w:t>
      </w:r>
      <w:r w:rsidR="008154FE" w:rsidRPr="00DC4993">
        <w:rPr>
          <w:rFonts w:ascii="Calibri" w:hAnsi="Calibri" w:cstheme="minorHAnsi"/>
          <w:sz w:val="22"/>
          <w:szCs w:val="22"/>
        </w:rPr>
        <w:t>speculative and</w:t>
      </w:r>
      <w:r w:rsidRPr="00DC4993">
        <w:rPr>
          <w:rFonts w:ascii="Calibri" w:hAnsi="Calibri" w:cstheme="minorHAnsi"/>
          <w:sz w:val="22"/>
          <w:szCs w:val="22"/>
        </w:rPr>
        <w:t xml:space="preserve"> offer m</w:t>
      </w:r>
      <w:r w:rsidR="002F4BA3" w:rsidRPr="00DC4993">
        <w:rPr>
          <w:rFonts w:ascii="Calibri" w:hAnsi="Calibri" w:cstheme="minorHAnsi"/>
          <w:sz w:val="22"/>
          <w:szCs w:val="22"/>
        </w:rPr>
        <w:t>assive potential upside along with</w:t>
      </w:r>
      <w:r w:rsidRPr="00DC4993">
        <w:rPr>
          <w:rFonts w:ascii="Calibri" w:hAnsi="Calibri" w:cstheme="minorHAnsi"/>
          <w:sz w:val="22"/>
          <w:szCs w:val="22"/>
        </w:rPr>
        <w:t xml:space="preserve"> the prospect of </w:t>
      </w:r>
      <w:r w:rsidR="002F4BA3" w:rsidRPr="00DC4993">
        <w:rPr>
          <w:rFonts w:ascii="Calibri" w:hAnsi="Calibri" w:cstheme="minorHAnsi"/>
          <w:sz w:val="22"/>
          <w:szCs w:val="22"/>
        </w:rPr>
        <w:t>staggering</w:t>
      </w:r>
      <w:r w:rsidRPr="00DC4993">
        <w:rPr>
          <w:rFonts w:ascii="Calibri" w:hAnsi="Calibri" w:cstheme="minorHAnsi"/>
          <w:sz w:val="22"/>
          <w:szCs w:val="22"/>
        </w:rPr>
        <w:t xml:space="preserve"> losses. </w:t>
      </w:r>
      <w:r w:rsidR="004D5EAA" w:rsidRPr="00DC4993">
        <w:rPr>
          <w:rFonts w:ascii="Calibri" w:hAnsi="Calibri" w:cstheme="minorHAnsi"/>
          <w:sz w:val="22"/>
          <w:szCs w:val="22"/>
        </w:rPr>
        <w:t>As an example</w:t>
      </w:r>
      <w:r w:rsidR="002F4BA3" w:rsidRPr="00DC4993">
        <w:rPr>
          <w:rFonts w:ascii="Calibri" w:hAnsi="Calibri" w:cstheme="minorHAnsi"/>
          <w:sz w:val="22"/>
          <w:szCs w:val="22"/>
        </w:rPr>
        <w:t xml:space="preserve">, </w:t>
      </w:r>
      <w:r w:rsidR="00BC7161" w:rsidRPr="00DC4993">
        <w:rPr>
          <w:rFonts w:ascii="Calibri" w:hAnsi="Calibri" w:cstheme="minorHAnsi"/>
          <w:sz w:val="22"/>
          <w:szCs w:val="22"/>
        </w:rPr>
        <w:t xml:space="preserve">a </w:t>
      </w:r>
      <w:r w:rsidRPr="00DC4993">
        <w:rPr>
          <w:rFonts w:ascii="Calibri" w:hAnsi="Calibri" w:cstheme="minorHAnsi"/>
          <w:sz w:val="22"/>
          <w:szCs w:val="22"/>
        </w:rPr>
        <w:t>Tampa-based</w:t>
      </w:r>
      <w:r w:rsidR="00BC7161" w:rsidRPr="00DC4993">
        <w:rPr>
          <w:rFonts w:ascii="Calibri" w:hAnsi="Calibri" w:cstheme="minorHAnsi"/>
          <w:sz w:val="22"/>
          <w:szCs w:val="22"/>
        </w:rPr>
        <w:t xml:space="preserve"> firm,</w:t>
      </w:r>
      <w:r w:rsidRPr="00DC4993">
        <w:rPr>
          <w:rFonts w:ascii="Calibri" w:hAnsi="Calibri" w:cstheme="minorHAnsi"/>
          <w:sz w:val="22"/>
          <w:szCs w:val="22"/>
        </w:rPr>
        <w:t xml:space="preserve"> Optionseller.com</w:t>
      </w:r>
      <w:r w:rsidR="00BC7161" w:rsidRPr="00DC4993">
        <w:rPr>
          <w:rFonts w:ascii="Calibri" w:hAnsi="Calibri" w:cstheme="minorHAnsi"/>
          <w:sz w:val="22"/>
          <w:szCs w:val="22"/>
        </w:rPr>
        <w:t>,</w:t>
      </w:r>
      <w:r w:rsidR="002F4BA3" w:rsidRPr="00DC4993">
        <w:rPr>
          <w:rFonts w:ascii="Calibri" w:hAnsi="Calibri" w:cstheme="minorHAnsi"/>
          <w:sz w:val="22"/>
          <w:szCs w:val="22"/>
        </w:rPr>
        <w:t xml:space="preserve"> recently </w:t>
      </w:r>
      <w:r w:rsidR="009035D1" w:rsidRPr="00DC4993">
        <w:rPr>
          <w:rFonts w:ascii="Calibri" w:hAnsi="Calibri" w:cstheme="minorHAnsi"/>
          <w:sz w:val="22"/>
          <w:szCs w:val="22"/>
        </w:rPr>
        <w:t>reported</w:t>
      </w:r>
      <w:r w:rsidR="002F4BA3" w:rsidRPr="00DC4993">
        <w:rPr>
          <w:rFonts w:ascii="Calibri" w:hAnsi="Calibri" w:cstheme="minorHAnsi"/>
          <w:sz w:val="22"/>
          <w:szCs w:val="22"/>
        </w:rPr>
        <w:t xml:space="preserve"> </w:t>
      </w:r>
      <w:r w:rsidR="009035D1" w:rsidRPr="00DC4993">
        <w:rPr>
          <w:rFonts w:ascii="Calibri" w:hAnsi="Calibri" w:cstheme="minorHAnsi"/>
          <w:sz w:val="22"/>
          <w:szCs w:val="22"/>
        </w:rPr>
        <w:t xml:space="preserve">a </w:t>
      </w:r>
      <w:r w:rsidR="002F4BA3" w:rsidRPr="00DC4993">
        <w:rPr>
          <w:rFonts w:ascii="Calibri" w:hAnsi="Calibri" w:cstheme="minorHAnsi"/>
          <w:sz w:val="22"/>
          <w:szCs w:val="22"/>
        </w:rPr>
        <w:t xml:space="preserve">volatility </w:t>
      </w:r>
      <w:r w:rsidR="009035D1" w:rsidRPr="00DC4993">
        <w:rPr>
          <w:rFonts w:ascii="Calibri" w:hAnsi="Calibri" w:cstheme="minorHAnsi"/>
          <w:sz w:val="22"/>
          <w:szCs w:val="22"/>
        </w:rPr>
        <w:t xml:space="preserve">spike </w:t>
      </w:r>
      <w:r w:rsidR="002F4BA3" w:rsidRPr="00DC4993">
        <w:rPr>
          <w:rFonts w:ascii="Calibri" w:hAnsi="Calibri" w:cstheme="minorHAnsi"/>
          <w:sz w:val="22"/>
          <w:szCs w:val="22"/>
        </w:rPr>
        <w:t xml:space="preserve">in </w:t>
      </w:r>
      <w:r w:rsidRPr="00DC4993">
        <w:rPr>
          <w:rFonts w:ascii="Calibri" w:hAnsi="Calibri" w:cstheme="minorHAnsi"/>
          <w:sz w:val="22"/>
          <w:szCs w:val="22"/>
        </w:rPr>
        <w:t>natural gas and crude oil</w:t>
      </w:r>
      <w:r w:rsidR="002F4BA3" w:rsidRPr="00DC4993">
        <w:rPr>
          <w:rFonts w:ascii="Calibri" w:hAnsi="Calibri" w:cstheme="minorHAnsi"/>
          <w:sz w:val="22"/>
          <w:szCs w:val="22"/>
        </w:rPr>
        <w:t xml:space="preserve"> trading that </w:t>
      </w:r>
      <w:r w:rsidR="009035D1" w:rsidRPr="00DC4993">
        <w:rPr>
          <w:rFonts w:ascii="Calibri" w:hAnsi="Calibri" w:cstheme="minorHAnsi"/>
          <w:sz w:val="22"/>
          <w:szCs w:val="22"/>
        </w:rPr>
        <w:t>lead to</w:t>
      </w:r>
      <w:r w:rsidR="002F4BA3" w:rsidRPr="00DC4993">
        <w:rPr>
          <w:rFonts w:ascii="Calibri" w:hAnsi="Calibri" w:cstheme="minorHAnsi"/>
          <w:sz w:val="22"/>
          <w:szCs w:val="22"/>
        </w:rPr>
        <w:t xml:space="preserve"> $150</w:t>
      </w:r>
      <w:r w:rsidR="00505A63" w:rsidRPr="00DC4993">
        <w:rPr>
          <w:rFonts w:ascii="Calibri" w:hAnsi="Calibri" w:cstheme="minorHAnsi"/>
          <w:sz w:val="22"/>
          <w:szCs w:val="22"/>
        </w:rPr>
        <w:t>MM</w:t>
      </w:r>
      <w:r w:rsidR="009035D1" w:rsidRPr="00DC4993">
        <w:rPr>
          <w:rFonts w:ascii="Calibri" w:hAnsi="Calibri" w:cstheme="minorHAnsi"/>
          <w:sz w:val="22"/>
          <w:szCs w:val="22"/>
        </w:rPr>
        <w:t xml:space="preserve"> </w:t>
      </w:r>
      <w:r w:rsidR="00D56BEB" w:rsidRPr="00DC4993">
        <w:rPr>
          <w:rFonts w:ascii="Calibri" w:hAnsi="Calibri" w:cstheme="minorHAnsi"/>
          <w:sz w:val="22"/>
          <w:szCs w:val="22"/>
        </w:rPr>
        <w:t>in market value getting erased in a single session;</w:t>
      </w:r>
      <w:r w:rsidRPr="00DC4993">
        <w:rPr>
          <w:rFonts w:ascii="Calibri" w:hAnsi="Calibri" w:cstheme="minorHAnsi"/>
          <w:sz w:val="22"/>
          <w:szCs w:val="22"/>
        </w:rPr>
        <w:t xml:space="preserve"> causing all </w:t>
      </w:r>
      <w:r w:rsidR="00DD5774" w:rsidRPr="00DC4993">
        <w:rPr>
          <w:rFonts w:ascii="Calibri" w:hAnsi="Calibri" w:cstheme="minorHAnsi"/>
          <w:sz w:val="22"/>
          <w:szCs w:val="22"/>
        </w:rPr>
        <w:t xml:space="preserve">of the firm’s open positions to be closed due to margin requirements and all associated investment </w:t>
      </w:r>
      <w:r w:rsidRPr="00DC4993">
        <w:rPr>
          <w:rFonts w:ascii="Calibri" w:hAnsi="Calibri" w:cstheme="minorHAnsi"/>
          <w:sz w:val="22"/>
          <w:szCs w:val="22"/>
        </w:rPr>
        <w:t>accounts to be liquidated</w:t>
      </w:r>
      <w:r w:rsidRPr="00DC4993">
        <w:rPr>
          <w:rFonts w:ascii="Calibri" w:hAnsi="Calibri" w:cstheme="minorHAnsi"/>
          <w:sz w:val="22"/>
          <w:szCs w:val="22"/>
          <w:vertAlign w:val="superscript"/>
        </w:rPr>
        <w:t>1</w:t>
      </w:r>
      <w:r w:rsidR="00DD5774" w:rsidRPr="00DC4993">
        <w:rPr>
          <w:rFonts w:ascii="Calibri" w:hAnsi="Calibri" w:cstheme="minorHAnsi"/>
          <w:sz w:val="22"/>
          <w:szCs w:val="22"/>
          <w:vertAlign w:val="superscript"/>
        </w:rPr>
        <w:t xml:space="preserve"> </w:t>
      </w:r>
      <w:r w:rsidRPr="00DC4993">
        <w:rPr>
          <w:rFonts w:ascii="Calibri" w:hAnsi="Calibri" w:cstheme="minorHAnsi"/>
          <w:sz w:val="22"/>
          <w:szCs w:val="22"/>
        </w:rPr>
        <w:t>.</w:t>
      </w:r>
      <w:r w:rsidR="00620E6D">
        <w:rPr>
          <w:rFonts w:ascii="Calibri" w:hAnsi="Calibri" w:cstheme="minorHAnsi"/>
          <w:sz w:val="22"/>
          <w:szCs w:val="22"/>
        </w:rPr>
        <w:t xml:space="preserve"> </w:t>
      </w:r>
    </w:p>
    <w:p w14:paraId="465F1637" w14:textId="2967707C" w:rsidR="00D81041" w:rsidRPr="00DC4993" w:rsidRDefault="00620E6D" w:rsidP="00DC4993">
      <w:pPr>
        <w:pStyle w:val="p"/>
        <w:spacing w:before="0" w:beforeAutospacing="0" w:after="225" w:afterAutospacing="0" w:line="480" w:lineRule="auto"/>
        <w:rPr>
          <w:rFonts w:ascii="Calibri" w:hAnsi="Calibri" w:cstheme="minorHAnsi"/>
          <w:sz w:val="22"/>
          <w:szCs w:val="22"/>
        </w:rPr>
      </w:pPr>
      <w:r>
        <w:rPr>
          <w:rFonts w:ascii="Calibri" w:hAnsi="Calibri" w:cstheme="minorHAnsi"/>
          <w:sz w:val="22"/>
          <w:szCs w:val="22"/>
        </w:rPr>
        <w:t xml:space="preserve">While this should be considered a “Black Swan” type of event, we point this out as both an example and a warning of the implications </w:t>
      </w:r>
      <w:r w:rsidR="00C275CE">
        <w:rPr>
          <w:rFonts w:ascii="Calibri" w:hAnsi="Calibri" w:cstheme="minorHAnsi"/>
          <w:sz w:val="22"/>
          <w:szCs w:val="22"/>
        </w:rPr>
        <w:t>lacking full understanding of one’s</w:t>
      </w:r>
      <w:r>
        <w:rPr>
          <w:rFonts w:ascii="Calibri" w:hAnsi="Calibri" w:cstheme="minorHAnsi"/>
          <w:sz w:val="22"/>
          <w:szCs w:val="22"/>
        </w:rPr>
        <w:t xml:space="preserve"> market exposure and </w:t>
      </w:r>
      <w:r w:rsidR="00C275CE">
        <w:rPr>
          <w:rFonts w:ascii="Calibri" w:hAnsi="Calibri" w:cstheme="minorHAnsi"/>
          <w:sz w:val="22"/>
          <w:szCs w:val="22"/>
        </w:rPr>
        <w:t xml:space="preserve">tail </w:t>
      </w:r>
      <w:r>
        <w:rPr>
          <w:rFonts w:ascii="Calibri" w:hAnsi="Calibri" w:cstheme="minorHAnsi"/>
          <w:sz w:val="22"/>
          <w:szCs w:val="22"/>
        </w:rPr>
        <w:t>risk; both of which will be paramount to the success of our fund.</w:t>
      </w:r>
    </w:p>
    <w:p w14:paraId="5A5DF9FC" w14:textId="6B2C0C23" w:rsidR="00EF5704" w:rsidRDefault="00BF510C" w:rsidP="00655880">
      <w:pPr>
        <w:pStyle w:val="NoSpacing"/>
        <w:spacing w:line="480" w:lineRule="auto"/>
        <w:rPr>
          <w:rFonts w:ascii="Calibri" w:hAnsi="Calibri" w:cstheme="minorHAnsi"/>
        </w:rPr>
      </w:pPr>
      <w:r w:rsidRPr="00DC4993">
        <w:rPr>
          <w:rFonts w:ascii="Calibri" w:hAnsi="Calibri" w:cstheme="minorHAnsi"/>
        </w:rPr>
        <w:t>Frequently</w:t>
      </w:r>
      <w:r w:rsidR="002F4BA3" w:rsidRPr="00DC4993">
        <w:rPr>
          <w:rFonts w:ascii="Calibri" w:hAnsi="Calibri" w:cstheme="minorHAnsi"/>
        </w:rPr>
        <w:t>, commodities pricing is heavily linked to</w:t>
      </w:r>
      <w:r w:rsidR="003D6D14" w:rsidRPr="00DC4993">
        <w:rPr>
          <w:rFonts w:ascii="Calibri" w:hAnsi="Calibri" w:cstheme="minorHAnsi"/>
        </w:rPr>
        <w:t xml:space="preserve"> uncertain government policies</w:t>
      </w:r>
      <w:r w:rsidR="002F4BA3" w:rsidRPr="00DC4993">
        <w:rPr>
          <w:rFonts w:ascii="Calibri" w:hAnsi="Calibri" w:cstheme="minorHAnsi"/>
        </w:rPr>
        <w:t>, in</w:t>
      </w:r>
      <w:r w:rsidR="003D6D14" w:rsidRPr="00DC4993">
        <w:rPr>
          <w:rFonts w:ascii="Calibri" w:hAnsi="Calibri" w:cstheme="minorHAnsi"/>
        </w:rPr>
        <w:t>accurate data and producer reporting, poor research</w:t>
      </w:r>
      <w:r w:rsidR="00C8216C" w:rsidRPr="00DC4993">
        <w:rPr>
          <w:rFonts w:ascii="Calibri" w:hAnsi="Calibri" w:cstheme="minorHAnsi"/>
        </w:rPr>
        <w:t xml:space="preserve"> as well as </w:t>
      </w:r>
      <w:r w:rsidR="003D6D14" w:rsidRPr="00DC4993">
        <w:rPr>
          <w:rFonts w:ascii="Calibri" w:hAnsi="Calibri" w:cstheme="minorHAnsi"/>
        </w:rPr>
        <w:t xml:space="preserve">structurally flawed investment products (described below) of the environment. </w:t>
      </w:r>
      <w:r w:rsidR="001902E6" w:rsidRPr="00DC4993">
        <w:rPr>
          <w:rFonts w:ascii="Calibri" w:hAnsi="Calibri" w:cstheme="minorHAnsi"/>
        </w:rPr>
        <w:t>In aggregate</w:t>
      </w:r>
      <w:r w:rsidR="002F4BA3" w:rsidRPr="00DC4993">
        <w:rPr>
          <w:rFonts w:ascii="Calibri" w:hAnsi="Calibri" w:cstheme="minorHAnsi"/>
        </w:rPr>
        <w:t>, these challenges have</w:t>
      </w:r>
      <w:r w:rsidR="003D6D14" w:rsidRPr="00DC4993">
        <w:rPr>
          <w:rFonts w:ascii="Calibri" w:hAnsi="Calibri" w:cstheme="minorHAnsi"/>
        </w:rPr>
        <w:t xml:space="preserve"> led to </w:t>
      </w:r>
      <w:r w:rsidR="008154FE" w:rsidRPr="00DC4993">
        <w:rPr>
          <w:rFonts w:ascii="Calibri" w:hAnsi="Calibri" w:cstheme="minorHAnsi"/>
        </w:rPr>
        <w:t>several</w:t>
      </w:r>
      <w:r w:rsidR="003D6D14" w:rsidRPr="00DC4993">
        <w:rPr>
          <w:rFonts w:ascii="Calibri" w:hAnsi="Calibri" w:cstheme="minorHAnsi"/>
        </w:rPr>
        <w:t xml:space="preserve"> people moving assets into managed accounts, or passive investment vehicles</w:t>
      </w:r>
      <w:r w:rsidR="00D050FC" w:rsidRPr="00DC4993">
        <w:rPr>
          <w:rFonts w:ascii="Calibri" w:hAnsi="Calibri" w:cstheme="minorHAnsi"/>
        </w:rPr>
        <w:t xml:space="preserve">, </w:t>
      </w:r>
      <w:r w:rsidR="00236939" w:rsidRPr="00DC4993">
        <w:rPr>
          <w:rFonts w:ascii="Calibri" w:hAnsi="Calibri" w:cstheme="minorHAnsi"/>
        </w:rPr>
        <w:t>which</w:t>
      </w:r>
      <w:r w:rsidR="007148B2" w:rsidRPr="00DC4993">
        <w:rPr>
          <w:rFonts w:ascii="Calibri" w:hAnsi="Calibri" w:cstheme="minorHAnsi"/>
        </w:rPr>
        <w:t xml:space="preserve"> coincidently,</w:t>
      </w:r>
      <w:r w:rsidR="00236939" w:rsidRPr="00DC4993">
        <w:rPr>
          <w:rFonts w:ascii="Calibri" w:hAnsi="Calibri" w:cstheme="minorHAnsi"/>
        </w:rPr>
        <w:t xml:space="preserve"> </w:t>
      </w:r>
      <w:r w:rsidR="009E6630" w:rsidRPr="00DC4993">
        <w:rPr>
          <w:rFonts w:ascii="Calibri" w:hAnsi="Calibri" w:cstheme="minorHAnsi"/>
        </w:rPr>
        <w:t>ha</w:t>
      </w:r>
      <w:r w:rsidR="007148B2" w:rsidRPr="00DC4993">
        <w:rPr>
          <w:rFonts w:ascii="Calibri" w:hAnsi="Calibri" w:cstheme="minorHAnsi"/>
        </w:rPr>
        <w:t>ve</w:t>
      </w:r>
      <w:r w:rsidR="009E6630" w:rsidRPr="00DC4993">
        <w:rPr>
          <w:rFonts w:ascii="Calibri" w:hAnsi="Calibri" w:cstheme="minorHAnsi"/>
        </w:rPr>
        <w:t xml:space="preserve"> seen </w:t>
      </w:r>
      <w:r w:rsidR="00236939" w:rsidRPr="00DC4993">
        <w:rPr>
          <w:rFonts w:ascii="Calibri" w:hAnsi="Calibri" w:cstheme="minorHAnsi"/>
        </w:rPr>
        <w:t xml:space="preserve">an </w:t>
      </w:r>
      <w:r w:rsidR="003D6D14" w:rsidRPr="00DC4993">
        <w:rPr>
          <w:rFonts w:ascii="Calibri" w:hAnsi="Calibri" w:cstheme="minorHAnsi"/>
        </w:rPr>
        <w:t>explosion on the equity side</w:t>
      </w:r>
      <w:r w:rsidR="004C59E4" w:rsidRPr="00DC4993">
        <w:rPr>
          <w:rFonts w:ascii="Calibri" w:hAnsi="Calibri" w:cstheme="minorHAnsi"/>
          <w:vertAlign w:val="superscript"/>
        </w:rPr>
        <w:t>3</w:t>
      </w:r>
      <w:r w:rsidR="003D6D14" w:rsidRPr="00DC4993">
        <w:rPr>
          <w:rFonts w:ascii="Calibri" w:hAnsi="Calibri" w:cstheme="minorHAnsi"/>
        </w:rPr>
        <w:t>.</w:t>
      </w:r>
      <w:r w:rsidR="004C59E4" w:rsidRPr="00DC4993">
        <w:rPr>
          <w:rFonts w:ascii="Calibri" w:hAnsi="Calibri" w:cstheme="minorHAnsi"/>
        </w:rPr>
        <w:t xml:space="preserve"> </w:t>
      </w:r>
    </w:p>
    <w:p w14:paraId="1A320D34" w14:textId="711A39F4" w:rsidR="00887B43" w:rsidRDefault="00A9736D" w:rsidP="00655880">
      <w:pPr>
        <w:pStyle w:val="NoSpacing"/>
        <w:spacing w:line="480" w:lineRule="auto"/>
        <w:rPr>
          <w:rFonts w:ascii="Calibri" w:hAnsi="Calibri" w:cstheme="minorHAnsi"/>
        </w:rPr>
      </w:pPr>
      <w:r w:rsidRPr="00DC4993">
        <w:rPr>
          <w:rFonts w:ascii="Calibri" w:hAnsi="Calibri" w:cstheme="minorHAnsi"/>
        </w:rPr>
        <w:t>These types of m</w:t>
      </w:r>
      <w:r w:rsidR="003D6D14" w:rsidRPr="00DC4993">
        <w:rPr>
          <w:rFonts w:ascii="Calibri" w:hAnsi="Calibri" w:cstheme="minorHAnsi"/>
        </w:rPr>
        <w:t xml:space="preserve">anaged accounts are </w:t>
      </w:r>
      <w:r w:rsidR="008154FE" w:rsidRPr="00DC4993">
        <w:rPr>
          <w:rFonts w:ascii="Calibri" w:hAnsi="Calibri" w:cstheme="minorHAnsi"/>
        </w:rPr>
        <w:t>like</w:t>
      </w:r>
      <w:r w:rsidR="003D6D14" w:rsidRPr="00DC4993">
        <w:rPr>
          <w:rFonts w:ascii="Calibri" w:hAnsi="Calibri" w:cstheme="minorHAnsi"/>
        </w:rPr>
        <w:t xml:space="preserve"> investment vehicles, such as </w:t>
      </w:r>
      <w:r w:rsidR="00BF6051" w:rsidRPr="00DC4993">
        <w:rPr>
          <w:rFonts w:ascii="Calibri" w:hAnsi="Calibri" w:cstheme="minorHAnsi"/>
        </w:rPr>
        <w:t>exchange traded funds (ETF’s)</w:t>
      </w:r>
      <w:r w:rsidR="003D6D14" w:rsidRPr="00DC4993">
        <w:rPr>
          <w:rFonts w:ascii="Calibri" w:hAnsi="Calibri" w:cstheme="minorHAnsi"/>
        </w:rPr>
        <w:t xml:space="preserve"> and </w:t>
      </w:r>
      <w:r w:rsidR="00BF6051" w:rsidRPr="00DC4993">
        <w:rPr>
          <w:rFonts w:ascii="Calibri" w:hAnsi="Calibri" w:cstheme="minorHAnsi"/>
        </w:rPr>
        <w:t>exchange traded notes (</w:t>
      </w:r>
      <w:r w:rsidR="003D6D14" w:rsidRPr="00DC4993">
        <w:rPr>
          <w:rFonts w:ascii="Calibri" w:hAnsi="Calibri" w:cstheme="minorHAnsi"/>
        </w:rPr>
        <w:t>ETN</w:t>
      </w:r>
      <w:r w:rsidR="00BF6051" w:rsidRPr="00DC4993">
        <w:rPr>
          <w:rFonts w:ascii="Calibri" w:hAnsi="Calibri" w:cstheme="minorHAnsi"/>
        </w:rPr>
        <w:t>’</w:t>
      </w:r>
      <w:r w:rsidR="003D6D14" w:rsidRPr="00DC4993">
        <w:rPr>
          <w:rFonts w:ascii="Calibri" w:hAnsi="Calibri" w:cstheme="minorHAnsi"/>
        </w:rPr>
        <w:t>s</w:t>
      </w:r>
      <w:r w:rsidR="00BF6051" w:rsidRPr="00DC4993">
        <w:rPr>
          <w:rFonts w:ascii="Calibri" w:hAnsi="Calibri" w:cstheme="minorHAnsi"/>
        </w:rPr>
        <w:t>)</w:t>
      </w:r>
      <w:r w:rsidR="003D6D14" w:rsidRPr="00DC4993">
        <w:rPr>
          <w:rFonts w:ascii="Calibri" w:hAnsi="Calibri" w:cstheme="minorHAnsi"/>
        </w:rPr>
        <w:t>, and are</w:t>
      </w:r>
      <w:r w:rsidR="002F4BA3" w:rsidRPr="00DC4993">
        <w:rPr>
          <w:rFonts w:ascii="Calibri" w:hAnsi="Calibri" w:cstheme="minorHAnsi"/>
        </w:rPr>
        <w:t>,</w:t>
      </w:r>
      <w:r w:rsidR="003D6D14" w:rsidRPr="00DC4993">
        <w:rPr>
          <w:rFonts w:ascii="Calibri" w:hAnsi="Calibri" w:cstheme="minorHAnsi"/>
        </w:rPr>
        <w:t xml:space="preserve"> for derivative markets</w:t>
      </w:r>
      <w:r w:rsidR="007639B4">
        <w:rPr>
          <w:rFonts w:ascii="Calibri" w:hAnsi="Calibri" w:cstheme="minorHAnsi"/>
        </w:rPr>
        <w:t xml:space="preserve">. </w:t>
      </w:r>
      <w:r w:rsidR="003D6D14" w:rsidRPr="00DC4993">
        <w:rPr>
          <w:rFonts w:ascii="Calibri" w:hAnsi="Calibri" w:cstheme="minorHAnsi"/>
        </w:rPr>
        <w:t>In the next section, we will offer a</w:t>
      </w:r>
      <w:r w:rsidR="00420B46">
        <w:rPr>
          <w:rFonts w:ascii="Calibri" w:hAnsi="Calibri" w:cstheme="minorHAnsi"/>
        </w:rPr>
        <w:t>n actively traded alternative as a</w:t>
      </w:r>
      <w:r w:rsidR="003D6D14" w:rsidRPr="00DC4993">
        <w:rPr>
          <w:rFonts w:ascii="Calibri" w:hAnsi="Calibri" w:cstheme="minorHAnsi"/>
        </w:rPr>
        <w:t xml:space="preserve"> solution </w:t>
      </w:r>
      <w:r w:rsidR="00420B46">
        <w:rPr>
          <w:rFonts w:ascii="Calibri" w:hAnsi="Calibri" w:cstheme="minorHAnsi"/>
        </w:rPr>
        <w:t xml:space="preserve">to this oversaturation of the passive investment marketplace. Not only is the passive market suffering from a lack of attractive investment vehicles, the </w:t>
      </w:r>
      <w:r w:rsidR="002D3BE5">
        <w:rPr>
          <w:rFonts w:ascii="Calibri" w:hAnsi="Calibri" w:cstheme="minorHAnsi"/>
        </w:rPr>
        <w:t xml:space="preserve">equal weighted nature of these vehicles inherently </w:t>
      </w:r>
      <w:r w:rsidR="003D6D14" w:rsidRPr="00DC4993">
        <w:rPr>
          <w:rFonts w:ascii="Calibri" w:hAnsi="Calibri" w:cstheme="minorHAnsi"/>
        </w:rPr>
        <w:t xml:space="preserve">means that </w:t>
      </w:r>
      <w:r w:rsidR="002D3BE5">
        <w:rPr>
          <w:rFonts w:ascii="Calibri" w:hAnsi="Calibri" w:cstheme="minorHAnsi"/>
        </w:rPr>
        <w:t xml:space="preserve">they </w:t>
      </w:r>
      <w:r w:rsidR="003D6D14" w:rsidRPr="00DC4993">
        <w:rPr>
          <w:rFonts w:ascii="Calibri" w:hAnsi="Calibri" w:cstheme="minorHAnsi"/>
        </w:rPr>
        <w:t>massively underperform the underlying commodities over time</w:t>
      </w:r>
      <w:r w:rsidR="00835428">
        <w:rPr>
          <w:rFonts w:ascii="Calibri" w:hAnsi="Calibri" w:cstheme="minorHAnsi"/>
        </w:rPr>
        <w:t xml:space="preserve"> due to their fix asset allocation</w:t>
      </w:r>
      <w:r w:rsidR="00A2479F">
        <w:rPr>
          <w:rFonts w:ascii="Calibri" w:hAnsi="Calibri" w:cstheme="minorHAnsi"/>
        </w:rPr>
        <w:t xml:space="preserve"> and lack of </w:t>
      </w:r>
      <w:r w:rsidR="00376FC8">
        <w:rPr>
          <w:rFonts w:ascii="Calibri" w:hAnsi="Calibri" w:cstheme="minorHAnsi"/>
        </w:rPr>
        <w:t xml:space="preserve">dynamic </w:t>
      </w:r>
      <w:r w:rsidR="00A2479F">
        <w:rPr>
          <w:rFonts w:ascii="Calibri" w:hAnsi="Calibri" w:cstheme="minorHAnsi"/>
        </w:rPr>
        <w:t>rebalancing</w:t>
      </w:r>
      <w:r w:rsidR="003D6D14" w:rsidRPr="00DC4993">
        <w:rPr>
          <w:rFonts w:ascii="Calibri" w:hAnsi="Calibri" w:cstheme="minorHAnsi"/>
        </w:rPr>
        <w:t>.</w:t>
      </w:r>
      <w:r w:rsidR="00995574" w:rsidRPr="00DC4993">
        <w:rPr>
          <w:rFonts w:ascii="Calibri" w:hAnsi="Calibri" w:cstheme="minorHAnsi"/>
        </w:rPr>
        <w:t xml:space="preserve"> </w:t>
      </w:r>
      <w:r w:rsidR="002F4BA3" w:rsidRPr="00DC4993">
        <w:rPr>
          <w:rFonts w:ascii="Calibri" w:hAnsi="Calibri" w:cstheme="minorHAnsi"/>
        </w:rPr>
        <w:t xml:space="preserve">Despite all the </w:t>
      </w:r>
      <w:r w:rsidR="008154FE" w:rsidRPr="00DC4993">
        <w:rPr>
          <w:rFonts w:ascii="Calibri" w:hAnsi="Calibri" w:cstheme="minorHAnsi"/>
        </w:rPr>
        <w:t>challenges</w:t>
      </w:r>
      <w:r w:rsidR="003D6D14" w:rsidRPr="00DC4993">
        <w:rPr>
          <w:rFonts w:ascii="Calibri" w:hAnsi="Calibri" w:cstheme="minorHAnsi"/>
        </w:rPr>
        <w:t xml:space="preserve"> there seems to be renewed interest i</w:t>
      </w:r>
      <w:r w:rsidR="002F4BA3" w:rsidRPr="00DC4993">
        <w:rPr>
          <w:rFonts w:ascii="Calibri" w:hAnsi="Calibri" w:cstheme="minorHAnsi"/>
        </w:rPr>
        <w:t xml:space="preserve">n commodity investing. </w:t>
      </w:r>
    </w:p>
    <w:p w14:paraId="2CCD702C" w14:textId="77777777" w:rsidR="00403485" w:rsidRDefault="00403485" w:rsidP="00957C07">
      <w:pPr>
        <w:pStyle w:val="p"/>
        <w:spacing w:before="0" w:beforeAutospacing="0" w:after="225" w:afterAutospacing="0"/>
        <w:rPr>
          <w:rFonts w:ascii="Calibri" w:hAnsi="Calibri"/>
          <w:color w:val="249696"/>
          <w:sz w:val="28"/>
          <w:szCs w:val="28"/>
        </w:rPr>
      </w:pPr>
    </w:p>
    <w:p w14:paraId="454B94C5" w14:textId="65AAA95E" w:rsidR="00653183" w:rsidRDefault="005F7A29" w:rsidP="00957C07">
      <w:pPr>
        <w:pStyle w:val="p"/>
        <w:spacing w:before="0" w:beforeAutospacing="0" w:after="225" w:afterAutospacing="0"/>
        <w:rPr>
          <w:rFonts w:ascii="Calibri" w:hAnsi="Calibri"/>
          <w:color w:val="249696"/>
          <w:sz w:val="28"/>
          <w:szCs w:val="28"/>
        </w:rPr>
      </w:pPr>
      <w:r>
        <w:rPr>
          <w:rFonts w:ascii="Calibri" w:hAnsi="Calibri"/>
          <w:color w:val="249696"/>
          <w:sz w:val="28"/>
          <w:szCs w:val="28"/>
        </w:rPr>
        <w:lastRenderedPageBreak/>
        <w:t>Opportunity / Project Proposal</w:t>
      </w:r>
    </w:p>
    <w:p w14:paraId="1165D7E3" w14:textId="7259DA3D" w:rsidR="00403485" w:rsidRDefault="00403485" w:rsidP="00957C07">
      <w:pPr>
        <w:pStyle w:val="p"/>
        <w:spacing w:before="0" w:beforeAutospacing="0" w:after="225" w:afterAutospacing="0"/>
        <w:rPr>
          <w:rFonts w:ascii="Calibri" w:hAnsi="Calibri"/>
          <w:color w:val="249696"/>
          <w:sz w:val="28"/>
          <w:szCs w:val="28"/>
        </w:rPr>
      </w:pPr>
    </w:p>
    <w:p w14:paraId="32996A4F" w14:textId="32B89141" w:rsidR="00692191" w:rsidRDefault="00692191" w:rsidP="000C1C0E">
      <w:pPr>
        <w:pStyle w:val="p"/>
        <w:spacing w:before="0" w:beforeAutospacing="0" w:after="225" w:afterAutospacing="0" w:line="480" w:lineRule="auto"/>
        <w:rPr>
          <w:rFonts w:ascii="Calibri" w:hAnsi="Calibri" w:cstheme="minorHAnsi"/>
          <w:sz w:val="22"/>
          <w:szCs w:val="22"/>
        </w:rPr>
      </w:pPr>
      <w:r>
        <w:rPr>
          <w:rFonts w:ascii="Calibri" w:hAnsi="Calibri" w:cstheme="minorHAnsi"/>
          <w:sz w:val="22"/>
          <w:szCs w:val="22"/>
        </w:rPr>
        <w:t>Our solution to the insufficient and inefficient choices for passive investments offered in the marketplace is to develop an alternative investment vehicle that exploits the inherit structural constraints of passive investment products. The nature of passive products is to buy (long) and hold, and this is due to the regulatory / risk constraints that are imposed on investment products offered to the public</w:t>
      </w:r>
      <w:r w:rsidR="00806445" w:rsidRPr="00806445">
        <w:rPr>
          <w:rFonts w:ascii="Calibri" w:hAnsi="Calibri" w:cstheme="minorHAnsi"/>
          <w:sz w:val="22"/>
          <w:szCs w:val="22"/>
          <w:vertAlign w:val="superscript"/>
        </w:rPr>
        <w:t>4</w:t>
      </w:r>
      <w:r>
        <w:rPr>
          <w:rFonts w:ascii="Calibri" w:hAnsi="Calibri" w:cstheme="minorHAnsi"/>
          <w:sz w:val="22"/>
          <w:szCs w:val="22"/>
        </w:rPr>
        <w:t xml:space="preserve">. The </w:t>
      </w:r>
      <w:r w:rsidR="00EA79AC">
        <w:rPr>
          <w:rFonts w:ascii="Calibri" w:hAnsi="Calibri" w:cstheme="minorHAnsi"/>
          <w:sz w:val="22"/>
          <w:szCs w:val="22"/>
        </w:rPr>
        <w:t>risk adverse nature of these funds limits their ability to trade in the derivatives market due to liquidity concerns, and additionally short-selling is prohibited as it is seen as “too risky” for main-street investment profiles. The lack of both derivative products and short selling in general is a major limitation is managing one’s risks, as these are the two primary tactics use to offset risk by process of hedging</w:t>
      </w:r>
      <w:r w:rsidR="00746BED" w:rsidRPr="00746BED">
        <w:rPr>
          <w:rFonts w:ascii="Calibri" w:hAnsi="Calibri" w:cstheme="minorHAnsi"/>
          <w:sz w:val="22"/>
          <w:szCs w:val="22"/>
          <w:vertAlign w:val="superscript"/>
        </w:rPr>
        <w:t>5</w:t>
      </w:r>
      <w:r w:rsidR="00424FC0">
        <w:rPr>
          <w:rFonts w:ascii="Calibri" w:hAnsi="Calibri" w:cstheme="minorHAnsi"/>
          <w:sz w:val="22"/>
          <w:szCs w:val="22"/>
        </w:rPr>
        <w:t xml:space="preserve"> to offset the extreme levels of volatility in commodities</w:t>
      </w:r>
      <w:r w:rsidR="00EA79AC">
        <w:rPr>
          <w:rFonts w:ascii="Calibri" w:hAnsi="Calibri" w:cstheme="minorHAnsi"/>
          <w:sz w:val="22"/>
          <w:szCs w:val="22"/>
        </w:rPr>
        <w:t>.</w:t>
      </w:r>
    </w:p>
    <w:p w14:paraId="6DA94653" w14:textId="0C7F9340" w:rsidR="005046B4" w:rsidRDefault="005046B4" w:rsidP="000C1C0E">
      <w:pPr>
        <w:pStyle w:val="p"/>
        <w:spacing w:before="0" w:beforeAutospacing="0" w:after="225" w:afterAutospacing="0" w:line="480" w:lineRule="auto"/>
        <w:rPr>
          <w:rFonts w:ascii="Calibri" w:hAnsi="Calibri" w:cstheme="minorHAnsi"/>
          <w:sz w:val="22"/>
          <w:szCs w:val="22"/>
        </w:rPr>
      </w:pPr>
      <w:r>
        <w:rPr>
          <w:rFonts w:ascii="Calibri" w:hAnsi="Calibri" w:cstheme="minorHAnsi"/>
          <w:sz w:val="22"/>
          <w:szCs w:val="22"/>
        </w:rPr>
        <w:t xml:space="preserve">At a high-level, our strategy can be summarized by looking at the </w:t>
      </w:r>
      <w:r w:rsidR="000535BF">
        <w:rPr>
          <w:rFonts w:ascii="Calibri" w:hAnsi="Calibri" w:cstheme="minorHAnsi"/>
          <w:sz w:val="22"/>
          <w:szCs w:val="22"/>
        </w:rPr>
        <w:t>one-year</w:t>
      </w:r>
      <w:r>
        <w:rPr>
          <w:rFonts w:ascii="Calibri" w:hAnsi="Calibri" w:cstheme="minorHAnsi"/>
          <w:sz w:val="22"/>
          <w:szCs w:val="22"/>
        </w:rPr>
        <w:t xml:space="preserve"> price change in heating oil seen below:</w:t>
      </w:r>
    </w:p>
    <w:p w14:paraId="1152EE93" w14:textId="494616BC" w:rsidR="005046B4" w:rsidRDefault="000535BF" w:rsidP="000C1C0E">
      <w:pPr>
        <w:pStyle w:val="p"/>
        <w:spacing w:before="0" w:beforeAutospacing="0" w:after="225" w:afterAutospacing="0" w:line="480" w:lineRule="auto"/>
        <w:rPr>
          <w:rFonts w:ascii="Calibri" w:hAnsi="Calibri" w:cstheme="minorHAnsi"/>
          <w:sz w:val="22"/>
          <w:szCs w:val="22"/>
        </w:rPr>
      </w:pPr>
      <w:r>
        <w:rPr>
          <w:noProof/>
        </w:rPr>
        <w:drawing>
          <wp:inline distT="0" distB="0" distL="0" distR="0" wp14:anchorId="20E30A82" wp14:editId="3D6DACCB">
            <wp:extent cx="59436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1560"/>
                    </a:xfrm>
                    <a:prstGeom prst="rect">
                      <a:avLst/>
                    </a:prstGeom>
                  </pic:spPr>
                </pic:pic>
              </a:graphicData>
            </a:graphic>
          </wp:inline>
        </w:drawing>
      </w:r>
    </w:p>
    <w:p w14:paraId="16149F7B" w14:textId="1DB8A6C7" w:rsidR="005046B4" w:rsidRPr="00D04136" w:rsidRDefault="005046B4" w:rsidP="000C1C0E">
      <w:pPr>
        <w:pStyle w:val="p"/>
        <w:spacing w:before="0" w:beforeAutospacing="0" w:after="225" w:afterAutospacing="0" w:line="480" w:lineRule="auto"/>
        <w:rPr>
          <w:rFonts w:ascii="Calibri" w:hAnsi="Calibri" w:cstheme="minorHAnsi"/>
          <w:sz w:val="22"/>
          <w:szCs w:val="22"/>
        </w:rPr>
      </w:pPr>
      <w:r>
        <w:rPr>
          <w:rFonts w:ascii="Calibri" w:hAnsi="Calibri" w:cstheme="minorHAnsi"/>
          <w:sz w:val="22"/>
          <w:szCs w:val="22"/>
        </w:rPr>
        <w:t xml:space="preserve">On a </w:t>
      </w:r>
      <w:r w:rsidR="000535BF">
        <w:rPr>
          <w:rFonts w:ascii="Calibri" w:hAnsi="Calibri" w:cstheme="minorHAnsi"/>
          <w:sz w:val="22"/>
          <w:szCs w:val="22"/>
        </w:rPr>
        <w:t>one-</w:t>
      </w:r>
      <w:r>
        <w:rPr>
          <w:rFonts w:ascii="Calibri" w:hAnsi="Calibri" w:cstheme="minorHAnsi"/>
          <w:sz w:val="22"/>
          <w:szCs w:val="22"/>
        </w:rPr>
        <w:t>year basis, the actual price of the commodity moved a relatively small amount</w:t>
      </w:r>
      <w:r w:rsidR="000535BF">
        <w:rPr>
          <w:rFonts w:ascii="Calibri" w:hAnsi="Calibri" w:cstheme="minorHAnsi"/>
          <w:sz w:val="22"/>
          <w:szCs w:val="22"/>
        </w:rPr>
        <w:t>, finishing in total up about a quarter cent</w:t>
      </w:r>
      <w:r w:rsidR="006B5074">
        <w:rPr>
          <w:rFonts w:ascii="Calibri" w:hAnsi="Calibri" w:cstheme="minorHAnsi"/>
          <w:sz w:val="22"/>
          <w:szCs w:val="22"/>
        </w:rPr>
        <w:t xml:space="preserve">. However, even though the overall net price movements over the period </w:t>
      </w:r>
      <w:r w:rsidR="006B5074">
        <w:rPr>
          <w:rFonts w:ascii="Calibri" w:hAnsi="Calibri" w:cstheme="minorHAnsi"/>
          <w:sz w:val="22"/>
          <w:szCs w:val="22"/>
        </w:rPr>
        <w:lastRenderedPageBreak/>
        <w:t>were small, they were meet with extreme periods of volatility, with a maximum peak-to-trough of 1.65 to 2.12, or 22.17%, from Dec ’18 to May ’19. Additionally, there was another swing of 1.78 to 2.12 in the back-half of ’19. If one were to either successfully enter-and exit at optimal price points, or execute a long-short strategy over these periods instead of maintaining a long-only net exposure, we would have seen a time-weighted cumulative growth of over 15% for the period, relative to an actually negative return from being long-only (negative due to the time-value of money, even though the absolute return was positive).</w:t>
      </w:r>
    </w:p>
    <w:p w14:paraId="4D26B477" w14:textId="69312E7F" w:rsidR="003D6D14" w:rsidRPr="00655880" w:rsidRDefault="000C1C0E" w:rsidP="00AF149F">
      <w:pPr>
        <w:pStyle w:val="NoSpacing"/>
        <w:spacing w:line="480" w:lineRule="auto"/>
        <w:rPr>
          <w:rFonts w:ascii="Calibri" w:hAnsi="Calibri" w:cstheme="minorHAnsi"/>
        </w:rPr>
      </w:pPr>
      <w:r w:rsidRPr="00655880">
        <w:rPr>
          <w:rFonts w:ascii="Calibri" w:hAnsi="Calibri" w:cs="Arial"/>
          <w:noProof/>
          <w:sz w:val="24"/>
          <w:szCs w:val="24"/>
        </w:rPr>
        <w:drawing>
          <wp:anchor distT="0" distB="0" distL="114300" distR="114300" simplePos="0" relativeHeight="251664384" behindDoc="0" locked="0" layoutInCell="1" allowOverlap="1" wp14:anchorId="0C6BBE5B" wp14:editId="1E82D298">
            <wp:simplePos x="0" y="0"/>
            <wp:positionH relativeFrom="column">
              <wp:posOffset>2552700</wp:posOffset>
            </wp:positionH>
            <wp:positionV relativeFrom="paragraph">
              <wp:posOffset>10795</wp:posOffset>
            </wp:positionV>
            <wp:extent cx="3924300" cy="3171087"/>
            <wp:effectExtent l="0" t="0" r="0" b="0"/>
            <wp:wrapThrough wrapText="bothSides">
              <wp:wrapPolygon edited="0">
                <wp:start x="0" y="0"/>
                <wp:lineTo x="0" y="21414"/>
                <wp:lineTo x="21495" y="21414"/>
                <wp:lineTo x="2149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3171087"/>
                    </a:xfrm>
                    <a:prstGeom prst="rect">
                      <a:avLst/>
                    </a:prstGeom>
                    <a:noFill/>
                    <a:ln>
                      <a:noFill/>
                    </a:ln>
                  </pic:spPr>
                </pic:pic>
              </a:graphicData>
            </a:graphic>
          </wp:anchor>
        </w:drawing>
      </w:r>
      <w:r w:rsidR="00363F5F" w:rsidRPr="00655880">
        <w:rPr>
          <w:rFonts w:ascii="Calibri" w:hAnsi="Calibri" w:cstheme="minorHAnsi"/>
        </w:rPr>
        <w:t>A</w:t>
      </w:r>
      <w:r w:rsidR="00D04136">
        <w:rPr>
          <w:rFonts w:ascii="Calibri" w:hAnsi="Calibri" w:cstheme="minorHAnsi"/>
        </w:rPr>
        <w:t>nother</w:t>
      </w:r>
      <w:r w:rsidR="00363F5F" w:rsidRPr="00655880">
        <w:rPr>
          <w:rFonts w:ascii="Calibri" w:hAnsi="Calibri" w:cstheme="minorHAnsi"/>
        </w:rPr>
        <w:t xml:space="preserve"> recent example of such volatility occurred </w:t>
      </w:r>
      <w:r w:rsidR="0013059C" w:rsidRPr="00655880">
        <w:rPr>
          <w:rFonts w:ascii="Calibri" w:hAnsi="Calibri" w:cstheme="minorHAnsi"/>
        </w:rPr>
        <w:t xml:space="preserve">last month (September 2019) </w:t>
      </w:r>
      <w:r w:rsidR="00363F5F" w:rsidRPr="00655880">
        <w:rPr>
          <w:rFonts w:ascii="Calibri" w:hAnsi="Calibri" w:cstheme="minorHAnsi"/>
        </w:rPr>
        <w:t xml:space="preserve">when there were attacks on Saudi oil fields.  </w:t>
      </w:r>
      <w:r w:rsidR="003D6D14" w:rsidRPr="00655880">
        <w:rPr>
          <w:rFonts w:ascii="Calibri" w:hAnsi="Calibri" w:cstheme="minorHAnsi"/>
          <w:i/>
          <w:iCs/>
          <w:u w:val="single"/>
        </w:rPr>
        <w:t>However</w:t>
      </w:r>
      <w:r w:rsidR="003D6D14" w:rsidRPr="00655880">
        <w:rPr>
          <w:rFonts w:ascii="Calibri" w:hAnsi="Calibri" w:cstheme="minorHAnsi"/>
        </w:rPr>
        <w:t xml:space="preserve">, a lot of research likes to exhibit charts like the one </w:t>
      </w:r>
      <w:r w:rsidR="0013059C" w:rsidRPr="00655880">
        <w:rPr>
          <w:rFonts w:ascii="Calibri" w:hAnsi="Calibri" w:cstheme="minorHAnsi"/>
        </w:rPr>
        <w:t xml:space="preserve">in </w:t>
      </w:r>
      <w:r w:rsidR="0013059C" w:rsidRPr="00655880">
        <w:rPr>
          <w:rFonts w:ascii="Calibri" w:hAnsi="Calibri" w:cstheme="minorHAnsi"/>
          <w:i/>
        </w:rPr>
        <w:t>Figure 2</w:t>
      </w:r>
      <w:r w:rsidR="0013059C" w:rsidRPr="00655880">
        <w:rPr>
          <w:rFonts w:ascii="Calibri" w:hAnsi="Calibri" w:cstheme="minorHAnsi"/>
        </w:rPr>
        <w:t>, below</w:t>
      </w:r>
      <w:r w:rsidR="003D6D14" w:rsidRPr="00655880">
        <w:rPr>
          <w:rFonts w:ascii="Calibri" w:hAnsi="Calibri" w:cstheme="minorHAnsi"/>
        </w:rPr>
        <w:t>. It shows the relative relationship between the levels of the S&amp;P GSCI commodity index and the S&amp;P 500 index of US stocks.</w:t>
      </w:r>
    </w:p>
    <w:p w14:paraId="60E609DA" w14:textId="77777777" w:rsidR="0013059C" w:rsidRPr="00655880" w:rsidRDefault="0013059C" w:rsidP="003D6D14">
      <w:pPr>
        <w:pStyle w:val="NoSpacing"/>
        <w:rPr>
          <w:rFonts w:ascii="Calibri" w:hAnsi="Calibri" w:cstheme="minorHAnsi"/>
        </w:rPr>
      </w:pPr>
    </w:p>
    <w:p w14:paraId="73BD2229" w14:textId="65C2B154" w:rsidR="003D6D14" w:rsidRPr="00655880" w:rsidRDefault="003D6D14" w:rsidP="003D6D14">
      <w:pPr>
        <w:pStyle w:val="NoSpacing"/>
        <w:jc w:val="center"/>
        <w:rPr>
          <w:rFonts w:ascii="Calibri" w:hAnsi="Calibri" w:cs="Arial"/>
          <w:sz w:val="24"/>
          <w:szCs w:val="24"/>
        </w:rPr>
      </w:pPr>
    </w:p>
    <w:p w14:paraId="39D463C0" w14:textId="77777777" w:rsidR="003D6D14" w:rsidRPr="00655880" w:rsidRDefault="003D6D14" w:rsidP="003D6D14">
      <w:pPr>
        <w:pStyle w:val="NoSpacing"/>
        <w:rPr>
          <w:rFonts w:ascii="Calibri" w:hAnsi="Calibri" w:cs="Arial"/>
          <w:sz w:val="24"/>
          <w:szCs w:val="24"/>
        </w:rPr>
      </w:pPr>
    </w:p>
    <w:p w14:paraId="2403831C" w14:textId="77777777" w:rsidR="003D6D14" w:rsidRPr="00655880" w:rsidRDefault="003D6D14" w:rsidP="003D6D14">
      <w:pPr>
        <w:pStyle w:val="NoSpacing"/>
        <w:rPr>
          <w:rFonts w:ascii="Calibri" w:hAnsi="Calibri" w:cs="Arial"/>
          <w:sz w:val="24"/>
          <w:szCs w:val="24"/>
        </w:rPr>
      </w:pPr>
    </w:p>
    <w:p w14:paraId="297977A0" w14:textId="293A1709" w:rsidR="000C1C0E" w:rsidRDefault="003D6D14" w:rsidP="00692191">
      <w:pPr>
        <w:pStyle w:val="NoSpacing"/>
        <w:spacing w:line="480" w:lineRule="auto"/>
        <w:rPr>
          <w:rFonts w:ascii="Calibri" w:hAnsi="Calibri" w:cstheme="minorHAnsi"/>
        </w:rPr>
      </w:pPr>
      <w:r w:rsidRPr="00655880">
        <w:rPr>
          <w:rFonts w:ascii="Calibri" w:hAnsi="Calibri" w:cstheme="minorHAnsi"/>
        </w:rPr>
        <w:t xml:space="preserve">The idea is that when the line is ultra-low, such as now, it's a signal that commodities are cheap relative to stocks. The problem is that this is a ratio. It could just be signaling that stocks are expensive overall. </w:t>
      </w:r>
    </w:p>
    <w:p w14:paraId="349285F1" w14:textId="77777777" w:rsidR="00F74F68" w:rsidRPr="00655880" w:rsidRDefault="00F74F68" w:rsidP="00692191">
      <w:pPr>
        <w:pStyle w:val="NoSpacing"/>
        <w:spacing w:line="480" w:lineRule="auto"/>
        <w:rPr>
          <w:rFonts w:ascii="Calibri" w:hAnsi="Calibri" w:cstheme="minorHAnsi"/>
        </w:rPr>
      </w:pPr>
    </w:p>
    <w:p w14:paraId="30D8AFD5" w14:textId="5FF8ADF1" w:rsidR="003D6D14" w:rsidRPr="00655880" w:rsidRDefault="003D6D14" w:rsidP="00692191">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sz w:val="22"/>
          <w:szCs w:val="22"/>
        </w:rPr>
        <w:t xml:space="preserve">A popular way to invest in commodities is via </w:t>
      </w:r>
      <w:r w:rsidR="00F20078" w:rsidRPr="00655880">
        <w:rPr>
          <w:rFonts w:ascii="Calibri" w:hAnsi="Calibri" w:cstheme="minorHAnsi"/>
          <w:sz w:val="22"/>
          <w:szCs w:val="22"/>
        </w:rPr>
        <w:t>index</w:t>
      </w:r>
      <w:r w:rsidRPr="00655880">
        <w:rPr>
          <w:rFonts w:ascii="Calibri" w:hAnsi="Calibri" w:cstheme="minorHAnsi"/>
          <w:sz w:val="22"/>
          <w:szCs w:val="22"/>
        </w:rPr>
        <w:t xml:space="preserve"> fund, such as an </w:t>
      </w:r>
      <w:r w:rsidR="00BF6051" w:rsidRPr="00655880">
        <w:rPr>
          <w:rFonts w:ascii="Calibri" w:hAnsi="Calibri" w:cstheme="minorHAnsi"/>
          <w:sz w:val="22"/>
          <w:szCs w:val="22"/>
        </w:rPr>
        <w:t xml:space="preserve">ETF or ETN.  </w:t>
      </w:r>
      <w:r w:rsidRPr="00655880">
        <w:rPr>
          <w:rFonts w:ascii="Calibri" w:hAnsi="Calibri" w:cstheme="minorHAnsi"/>
          <w:color w:val="000000"/>
          <w:sz w:val="22"/>
          <w:szCs w:val="22"/>
        </w:rPr>
        <w:t xml:space="preserve">The commodity indices are all very different. Between different types of commodities, the supply and demand dynamics have nothing in common. However, speculative money flows can push all prices up or down, as investors pile </w:t>
      </w:r>
      <w:r w:rsidRPr="00655880">
        <w:rPr>
          <w:rFonts w:ascii="Calibri" w:hAnsi="Calibri" w:cstheme="minorHAnsi"/>
          <w:color w:val="000000"/>
          <w:sz w:val="22"/>
          <w:szCs w:val="22"/>
        </w:rPr>
        <w:lastRenderedPageBreak/>
        <w:t xml:space="preserve">into index funds, or dash for the exits.  </w:t>
      </w:r>
      <w:r w:rsidR="00BF6051" w:rsidRPr="00655880">
        <w:rPr>
          <w:rFonts w:ascii="Calibri" w:hAnsi="Calibri" w:cstheme="minorHAnsi"/>
          <w:color w:val="000000"/>
          <w:sz w:val="22"/>
          <w:szCs w:val="22"/>
        </w:rPr>
        <w:t>In the same day, o</w:t>
      </w:r>
      <w:r w:rsidRPr="00655880">
        <w:rPr>
          <w:rFonts w:ascii="Calibri" w:hAnsi="Calibri" w:cstheme="minorHAnsi"/>
          <w:color w:val="000000"/>
          <w:sz w:val="22"/>
          <w:szCs w:val="22"/>
        </w:rPr>
        <w:t>ne person makes a great case</w:t>
      </w:r>
      <w:r w:rsidR="00BF6051" w:rsidRPr="00655880">
        <w:rPr>
          <w:rFonts w:ascii="Calibri" w:hAnsi="Calibri" w:cstheme="minorHAnsi"/>
          <w:color w:val="000000"/>
          <w:sz w:val="22"/>
          <w:szCs w:val="22"/>
        </w:rPr>
        <w:t xml:space="preserve"> for why oil is heading higher while a</w:t>
      </w:r>
      <w:r w:rsidRPr="00655880">
        <w:rPr>
          <w:rFonts w:ascii="Calibri" w:hAnsi="Calibri" w:cstheme="minorHAnsi"/>
          <w:color w:val="000000"/>
          <w:sz w:val="22"/>
          <w:szCs w:val="22"/>
        </w:rPr>
        <w:t>nother uses solid reasoning to explain why</w:t>
      </w:r>
      <w:r w:rsidR="00BF6051" w:rsidRPr="00655880">
        <w:rPr>
          <w:rFonts w:ascii="Calibri" w:hAnsi="Calibri" w:cstheme="minorHAnsi"/>
          <w:color w:val="000000"/>
          <w:sz w:val="22"/>
          <w:szCs w:val="22"/>
        </w:rPr>
        <w:t xml:space="preserve"> it's going lower. Too often, commodities investing</w:t>
      </w:r>
      <w:r w:rsidRPr="00655880">
        <w:rPr>
          <w:rFonts w:ascii="Calibri" w:hAnsi="Calibri" w:cstheme="minorHAnsi"/>
          <w:color w:val="000000"/>
          <w:sz w:val="22"/>
          <w:szCs w:val="22"/>
        </w:rPr>
        <w:t xml:space="preserve"> just seems like guesswork.</w:t>
      </w:r>
    </w:p>
    <w:p w14:paraId="03DE450A" w14:textId="49B5ADE4" w:rsidR="003D6D14" w:rsidRPr="00655880" w:rsidRDefault="003D6D14" w:rsidP="00692191">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 xml:space="preserve">It's beyond the scope of this </w:t>
      </w:r>
      <w:r w:rsidR="00BF6051" w:rsidRPr="00655880">
        <w:rPr>
          <w:rFonts w:ascii="Calibri" w:hAnsi="Calibri" w:cstheme="minorHAnsi"/>
          <w:color w:val="000000"/>
          <w:sz w:val="22"/>
          <w:szCs w:val="22"/>
        </w:rPr>
        <w:t>project</w:t>
      </w:r>
      <w:r w:rsidRPr="00655880">
        <w:rPr>
          <w:rFonts w:ascii="Calibri" w:hAnsi="Calibri" w:cstheme="minorHAnsi"/>
          <w:color w:val="000000"/>
          <w:sz w:val="22"/>
          <w:szCs w:val="22"/>
        </w:rPr>
        <w:t xml:space="preserve"> to explain the full, technical details. However, the problem is that index-tracking ETFs and ETNs do it by way of the futures market, a type of financial derivative. A future is a contract to buy something </w:t>
      </w:r>
      <w:r w:rsidR="00F20078" w:rsidRPr="00655880">
        <w:rPr>
          <w:rFonts w:ascii="Calibri" w:hAnsi="Calibri" w:cstheme="minorHAnsi"/>
          <w:color w:val="000000"/>
          <w:sz w:val="22"/>
          <w:szCs w:val="22"/>
        </w:rPr>
        <w:t>later</w:t>
      </w:r>
      <w:r w:rsidRPr="00655880">
        <w:rPr>
          <w:rFonts w:ascii="Calibri" w:hAnsi="Calibri" w:cstheme="minorHAnsi"/>
          <w:color w:val="000000"/>
          <w:sz w:val="22"/>
          <w:szCs w:val="22"/>
        </w:rPr>
        <w:t xml:space="preserve"> at an agreed price.</w:t>
      </w:r>
    </w:p>
    <w:p w14:paraId="010B4F21" w14:textId="77777777" w:rsidR="003D6D14" w:rsidRPr="00655880" w:rsidRDefault="003D6D14" w:rsidP="00692191">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Investment funds don't want to take delivery of physical commodities, so they roll over the futures contracts before they expire. This means they sell the contracts that are close to expiry and buy longer-dated ones. Futures prices bake in something called "basis" on top of the current "spot" price of the underlying asset. Basis is the difference between the cost of owning an underlying asset (e.g. lost interest on foregone cash deposits invested and any storage costs) less the benefits of owning something directly (e.g. dividends on stocks and coupons on bonds).</w:t>
      </w:r>
    </w:p>
    <w:p w14:paraId="29E744D6" w14:textId="77777777" w:rsidR="003D6D14" w:rsidRPr="00655880" w:rsidRDefault="003D6D14" w:rsidP="00692191">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In the case of commodity futures, there's no foregone income yield from owning the future instead of the physical. So, basis mainly consists of the cost side, or "cost of carry."  This is because investors in commodities have a choice. They can either own the physical commodity, paying out cash and taking on storage expenses. Or they can enter into a futures contract, keeping the cash and any interest on it, and avoiding the storage costs. The basis element of the future's price keeps the economic pros and cons of both situations in balance.</w:t>
      </w:r>
    </w:p>
    <w:p w14:paraId="284880CA" w14:textId="77777777" w:rsidR="003D6D14" w:rsidRPr="00655880" w:rsidRDefault="003D6D14" w:rsidP="00692191">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Basis shrinks over time, as a future approaches expiry. As a result, the price of the future gets closer to the spot price, being the price to buy the underlying asset straight away.</w:t>
      </w:r>
    </w:p>
    <w:p w14:paraId="048314F4" w14:textId="742947F0" w:rsidR="003D6D14" w:rsidRPr="00655880" w:rsidRDefault="003D6D14" w:rsidP="00692191">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When the commodity funds roll over their futures positions, this means they sell something with little basis in the price and buy something with more basis in the price. This means t</w:t>
      </w:r>
      <w:r w:rsidR="007D6929" w:rsidRPr="00655880">
        <w:rPr>
          <w:rFonts w:ascii="Calibri" w:hAnsi="Calibri" w:cstheme="minorHAnsi"/>
          <w:color w:val="000000"/>
          <w:sz w:val="22"/>
          <w:szCs w:val="22"/>
        </w:rPr>
        <w:t>he funds are</w:t>
      </w:r>
      <w:r w:rsidRPr="00655880">
        <w:rPr>
          <w:rFonts w:ascii="Calibri" w:hAnsi="Calibri" w:cstheme="minorHAnsi"/>
          <w:color w:val="000000"/>
          <w:sz w:val="22"/>
          <w:szCs w:val="22"/>
        </w:rPr>
        <w:t xml:space="preserve"> constantly </w:t>
      </w:r>
      <w:r w:rsidRPr="00655880">
        <w:rPr>
          <w:rFonts w:ascii="Calibri" w:hAnsi="Calibri" w:cstheme="minorHAnsi"/>
          <w:color w:val="000000"/>
          <w:sz w:val="22"/>
          <w:szCs w:val="22"/>
        </w:rPr>
        <w:lastRenderedPageBreak/>
        <w:t xml:space="preserve">locking in small losses at each </w:t>
      </w:r>
      <w:proofErr w:type="spellStart"/>
      <w:r w:rsidRPr="00655880">
        <w:rPr>
          <w:rFonts w:ascii="Calibri" w:hAnsi="Calibri" w:cstheme="minorHAnsi"/>
          <w:color w:val="000000"/>
          <w:sz w:val="22"/>
          <w:szCs w:val="22"/>
        </w:rPr>
        <w:t>rollover.It's</w:t>
      </w:r>
      <w:proofErr w:type="spellEnd"/>
      <w:r w:rsidRPr="00655880">
        <w:rPr>
          <w:rFonts w:ascii="Calibri" w:hAnsi="Calibri" w:cstheme="minorHAnsi"/>
          <w:color w:val="000000"/>
          <w:sz w:val="22"/>
          <w:szCs w:val="22"/>
        </w:rPr>
        <w:t xml:space="preserve"> </w:t>
      </w:r>
      <w:r w:rsidR="00876A6C" w:rsidRPr="00655880">
        <w:rPr>
          <w:rFonts w:ascii="Calibri" w:hAnsi="Calibri" w:cstheme="minorHAnsi"/>
          <w:color w:val="000000"/>
          <w:sz w:val="22"/>
          <w:szCs w:val="22"/>
        </w:rPr>
        <w:t>more</w:t>
      </w:r>
      <w:r w:rsidRPr="00655880">
        <w:rPr>
          <w:rFonts w:ascii="Calibri" w:hAnsi="Calibri" w:cstheme="minorHAnsi"/>
          <w:color w:val="000000"/>
          <w:sz w:val="22"/>
          <w:szCs w:val="22"/>
        </w:rPr>
        <w:t xml:space="preserve"> complex than that, involving things called "contango" and "backwardation." Therefore, funds that rely on futures contracts have a flawed structure that accumulates losses over time.</w:t>
      </w:r>
    </w:p>
    <w:p w14:paraId="4553E090" w14:textId="1280A774" w:rsidR="007D6929" w:rsidRDefault="007D6929" w:rsidP="00692191">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 xml:space="preserve">The project team will use a variety of cutting edge and sophisticated machine learning algorithms along with comprehensive technical and fundamental review of the energy markets.  The first goal is to produce a simple technical chart forecasting the trading ranges of energy futures products.  Given the time constraints, </w:t>
      </w:r>
      <w:r w:rsidR="009D5063" w:rsidRPr="00655880">
        <w:rPr>
          <w:rFonts w:ascii="Calibri" w:hAnsi="Calibri" w:cstheme="minorHAnsi"/>
          <w:color w:val="000000"/>
          <w:sz w:val="22"/>
          <w:szCs w:val="22"/>
        </w:rPr>
        <w:t>we</w:t>
      </w:r>
      <w:r w:rsidRPr="00655880">
        <w:rPr>
          <w:rFonts w:ascii="Calibri" w:hAnsi="Calibri" w:cstheme="minorHAnsi"/>
          <w:color w:val="000000"/>
          <w:sz w:val="22"/>
          <w:szCs w:val="22"/>
        </w:rPr>
        <w:t xml:space="preserve"> will focus </w:t>
      </w:r>
      <w:r w:rsidR="009D5063" w:rsidRPr="00655880">
        <w:rPr>
          <w:rFonts w:ascii="Calibri" w:hAnsi="Calibri" w:cstheme="minorHAnsi"/>
          <w:color w:val="000000"/>
          <w:sz w:val="22"/>
          <w:szCs w:val="22"/>
        </w:rPr>
        <w:t>onl</w:t>
      </w:r>
      <w:r w:rsidRPr="00655880">
        <w:rPr>
          <w:rFonts w:ascii="Calibri" w:hAnsi="Calibri" w:cstheme="minorHAnsi"/>
          <w:color w:val="000000"/>
          <w:sz w:val="22"/>
          <w:szCs w:val="22"/>
        </w:rPr>
        <w:t>y on gasoline and heating oil futures.  A dashboard will be created to not only give resistance guidelines on price, but trend indicators such as bullish or bearish.  Below</w:t>
      </w:r>
      <w:r w:rsidR="0013059C" w:rsidRPr="00655880">
        <w:rPr>
          <w:rFonts w:ascii="Calibri" w:hAnsi="Calibri" w:cstheme="minorHAnsi"/>
          <w:color w:val="000000"/>
          <w:sz w:val="22"/>
          <w:szCs w:val="22"/>
        </w:rPr>
        <w:t xml:space="preserve">, in </w:t>
      </w:r>
      <w:r w:rsidR="0013059C" w:rsidRPr="00655880">
        <w:rPr>
          <w:rFonts w:ascii="Calibri" w:hAnsi="Calibri" w:cstheme="minorHAnsi"/>
          <w:i/>
          <w:color w:val="000000"/>
          <w:sz w:val="22"/>
          <w:szCs w:val="22"/>
        </w:rPr>
        <w:t>Figure 3</w:t>
      </w:r>
      <w:r w:rsidR="0013059C" w:rsidRPr="00655880">
        <w:rPr>
          <w:rFonts w:ascii="Calibri" w:hAnsi="Calibri" w:cstheme="minorHAnsi"/>
          <w:color w:val="000000"/>
          <w:sz w:val="22"/>
          <w:szCs w:val="22"/>
        </w:rPr>
        <w:t>,</w:t>
      </w:r>
      <w:r w:rsidRPr="00655880">
        <w:rPr>
          <w:rFonts w:ascii="Calibri" w:hAnsi="Calibri" w:cstheme="minorHAnsi"/>
          <w:color w:val="000000"/>
          <w:sz w:val="22"/>
          <w:szCs w:val="22"/>
        </w:rPr>
        <w:t xml:space="preserve"> is a possible example of a future dashboard: </w:t>
      </w:r>
    </w:p>
    <w:p w14:paraId="6CA4C2A3" w14:textId="66E81D36" w:rsidR="00493BDB" w:rsidRPr="00493BDB" w:rsidRDefault="00493BDB" w:rsidP="00493BDB">
      <w:pPr>
        <w:pStyle w:val="p"/>
        <w:spacing w:before="0" w:beforeAutospacing="0" w:after="225" w:afterAutospacing="0" w:line="480" w:lineRule="auto"/>
        <w:jc w:val="center"/>
        <w:rPr>
          <w:rFonts w:ascii="Calibri" w:hAnsi="Calibri" w:cstheme="minorHAnsi"/>
          <w:i/>
          <w:iCs/>
          <w:color w:val="000000"/>
          <w:sz w:val="22"/>
          <w:szCs w:val="22"/>
        </w:rPr>
      </w:pPr>
      <w:r w:rsidRPr="00493BDB">
        <w:rPr>
          <w:rFonts w:ascii="Calibri" w:hAnsi="Calibri" w:cstheme="minorHAnsi"/>
          <w:i/>
          <w:iCs/>
          <w:color w:val="000000"/>
          <w:sz w:val="22"/>
          <w:szCs w:val="22"/>
        </w:rPr>
        <w:t>Figure 3</w:t>
      </w:r>
    </w:p>
    <w:p w14:paraId="0DE7228F" w14:textId="3489B6B7" w:rsidR="007D6929" w:rsidRPr="00655880" w:rsidRDefault="00493BDB" w:rsidP="007D6929">
      <w:pPr>
        <w:pStyle w:val="p"/>
        <w:spacing w:before="0" w:beforeAutospacing="0" w:after="225" w:afterAutospacing="0"/>
        <w:jc w:val="center"/>
        <w:rPr>
          <w:rFonts w:ascii="Calibri" w:hAnsi="Calibri" w:cs="Arial"/>
          <w:color w:val="000000"/>
        </w:rPr>
      </w:pPr>
      <w:r w:rsidRPr="00655880">
        <w:rPr>
          <w:rFonts w:ascii="Calibri" w:hAnsi="Calibri" w:cs="Arial"/>
          <w:noProof/>
          <w:color w:val="000000"/>
        </w:rPr>
        <w:drawing>
          <wp:inline distT="0" distB="0" distL="0" distR="0" wp14:anchorId="69213EC7" wp14:editId="72C4E535">
            <wp:extent cx="4543425" cy="24681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521" cy="2471467"/>
                    </a:xfrm>
                    <a:prstGeom prst="rect">
                      <a:avLst/>
                    </a:prstGeom>
                    <a:noFill/>
                    <a:ln>
                      <a:noFill/>
                    </a:ln>
                  </pic:spPr>
                </pic:pic>
              </a:graphicData>
            </a:graphic>
          </wp:inline>
        </w:drawing>
      </w:r>
    </w:p>
    <w:p w14:paraId="772584CA" w14:textId="1CBF8072" w:rsidR="00F3053A" w:rsidRDefault="007D6929" w:rsidP="00F20078">
      <w:pPr>
        <w:pStyle w:val="p"/>
        <w:spacing w:before="0" w:beforeAutospacing="0" w:after="225" w:afterAutospacing="0" w:line="480" w:lineRule="auto"/>
        <w:rPr>
          <w:rFonts w:ascii="Calibri" w:hAnsi="Calibri" w:cstheme="minorHAnsi"/>
          <w:color w:val="000000"/>
          <w:sz w:val="22"/>
          <w:szCs w:val="22"/>
        </w:rPr>
      </w:pPr>
      <w:r w:rsidRPr="00655880">
        <w:rPr>
          <w:rFonts w:ascii="Calibri" w:hAnsi="Calibri" w:cstheme="minorHAnsi"/>
          <w:color w:val="000000"/>
          <w:sz w:val="22"/>
          <w:szCs w:val="22"/>
        </w:rPr>
        <w:t xml:space="preserve">The next step will be to create a </w:t>
      </w:r>
      <w:r w:rsidR="009D5063" w:rsidRPr="00655880">
        <w:rPr>
          <w:rFonts w:ascii="Calibri" w:hAnsi="Calibri" w:cstheme="minorHAnsi"/>
          <w:color w:val="000000"/>
          <w:sz w:val="22"/>
          <w:szCs w:val="22"/>
        </w:rPr>
        <w:t xml:space="preserve">manageable number of </w:t>
      </w:r>
      <w:r w:rsidRPr="00655880">
        <w:rPr>
          <w:rFonts w:ascii="Calibri" w:hAnsi="Calibri" w:cstheme="minorHAnsi"/>
          <w:color w:val="000000"/>
          <w:sz w:val="22"/>
          <w:szCs w:val="22"/>
        </w:rPr>
        <w:t xml:space="preserve">different trading strategies with the inputs being the probabilistic models </w:t>
      </w:r>
      <w:r w:rsidR="008154FE" w:rsidRPr="00655880">
        <w:rPr>
          <w:rFonts w:ascii="Calibri" w:hAnsi="Calibri" w:cstheme="minorHAnsi"/>
          <w:color w:val="000000"/>
          <w:sz w:val="22"/>
          <w:szCs w:val="22"/>
        </w:rPr>
        <w:t>developed and</w:t>
      </w:r>
      <w:r w:rsidRPr="00655880">
        <w:rPr>
          <w:rFonts w:ascii="Calibri" w:hAnsi="Calibri" w:cstheme="minorHAnsi"/>
          <w:color w:val="000000"/>
          <w:sz w:val="22"/>
          <w:szCs w:val="22"/>
        </w:rPr>
        <w:t xml:space="preserve"> creating a back-testing harness to evaluate.  The main goal is to deliver a strategy that is both quantifiable in terms of profitability</w:t>
      </w:r>
      <w:r w:rsidR="009D5063" w:rsidRPr="00655880">
        <w:rPr>
          <w:rFonts w:ascii="Calibri" w:hAnsi="Calibri" w:cstheme="minorHAnsi"/>
          <w:color w:val="000000"/>
          <w:sz w:val="22"/>
          <w:szCs w:val="22"/>
        </w:rPr>
        <w:t>,</w:t>
      </w:r>
      <w:r w:rsidRPr="00655880">
        <w:rPr>
          <w:rFonts w:ascii="Calibri" w:hAnsi="Calibri" w:cstheme="minorHAnsi"/>
          <w:color w:val="000000"/>
          <w:sz w:val="22"/>
          <w:szCs w:val="22"/>
        </w:rPr>
        <w:t xml:space="preserve"> but also within risk guidelines.</w:t>
      </w:r>
    </w:p>
    <w:p w14:paraId="79AF4F68" w14:textId="77777777" w:rsidR="00F3053A" w:rsidRDefault="00F3053A">
      <w:pPr>
        <w:rPr>
          <w:rFonts w:ascii="Calibri" w:eastAsia="Times New Roman" w:hAnsi="Calibri" w:cstheme="minorHAnsi"/>
          <w:color w:val="000000"/>
        </w:rPr>
      </w:pPr>
      <w:r>
        <w:rPr>
          <w:rFonts w:ascii="Calibri" w:hAnsi="Calibri" w:cstheme="minorHAnsi"/>
          <w:color w:val="000000"/>
        </w:rPr>
        <w:br w:type="page"/>
      </w:r>
    </w:p>
    <w:p w14:paraId="70A8BEBE" w14:textId="467AEFCD" w:rsidR="000C1C0E" w:rsidRDefault="000C1C0E" w:rsidP="00AF22D6">
      <w:pPr>
        <w:rPr>
          <w:rFonts w:ascii="Calibri" w:hAnsi="Calibri"/>
          <w:color w:val="249696"/>
          <w:sz w:val="28"/>
        </w:rPr>
      </w:pPr>
      <w:r>
        <w:rPr>
          <w:rFonts w:ascii="Calibri" w:hAnsi="Calibri"/>
          <w:color w:val="249696"/>
          <w:sz w:val="28"/>
        </w:rPr>
        <w:lastRenderedPageBreak/>
        <w:t>Appendix</w:t>
      </w:r>
    </w:p>
    <w:p w14:paraId="1E16A2DE" w14:textId="4603377D" w:rsidR="009D5063" w:rsidRPr="00655880" w:rsidRDefault="0099266B" w:rsidP="009D5063">
      <w:pPr>
        <w:shd w:val="clear" w:color="auto" w:fill="FFFFFF"/>
        <w:spacing w:before="180" w:after="180" w:line="240" w:lineRule="auto"/>
        <w:rPr>
          <w:rFonts w:ascii="Calibri" w:eastAsia="Times New Roman" w:hAnsi="Calibri" w:cstheme="minorHAnsi"/>
        </w:rPr>
      </w:pPr>
      <w:r w:rsidRPr="00655880">
        <w:rPr>
          <w:rFonts w:ascii="Calibri" w:eastAsia="Times New Roman" w:hAnsi="Calibri" w:cstheme="minorHAnsi"/>
        </w:rPr>
        <w:t xml:space="preserve">The initial workflow is outlined as </w:t>
      </w:r>
      <w:r w:rsidR="008154FE" w:rsidRPr="00655880">
        <w:rPr>
          <w:rFonts w:ascii="Calibri" w:eastAsia="Times New Roman" w:hAnsi="Calibri" w:cstheme="minorHAnsi"/>
        </w:rPr>
        <w:t>follows but</w:t>
      </w:r>
      <w:r w:rsidRPr="00655880">
        <w:rPr>
          <w:rFonts w:ascii="Calibri" w:eastAsia="Times New Roman" w:hAnsi="Calibri" w:cstheme="minorHAnsi"/>
        </w:rPr>
        <w:t xml:space="preserve"> is subject to change based on complexity and our initial findings.</w:t>
      </w:r>
    </w:p>
    <w:p w14:paraId="6572D605" w14:textId="77777777" w:rsidR="009D5063" w:rsidRPr="00655880" w:rsidRDefault="009D5063" w:rsidP="009D5063">
      <w:pPr>
        <w:numPr>
          <w:ilvl w:val="0"/>
          <w:numId w:val="4"/>
        </w:numPr>
        <w:shd w:val="clear" w:color="auto" w:fill="FFFFFF"/>
        <w:spacing w:before="100" w:beforeAutospacing="1" w:after="100" w:afterAutospacing="1" w:line="240" w:lineRule="auto"/>
        <w:rPr>
          <w:rFonts w:ascii="Calibri" w:eastAsia="Times New Roman" w:hAnsi="Calibri" w:cstheme="minorHAnsi"/>
        </w:rPr>
      </w:pPr>
      <w:r w:rsidRPr="00655880">
        <w:rPr>
          <w:rFonts w:ascii="Calibri" w:eastAsia="Times New Roman" w:hAnsi="Calibri" w:cstheme="minorHAnsi"/>
        </w:rPr>
        <w:t>Acquire the data</w:t>
      </w:r>
    </w:p>
    <w:p w14:paraId="01896093" w14:textId="77777777" w:rsidR="009D5063" w:rsidRPr="00655880" w:rsidRDefault="009D5063" w:rsidP="009D5063">
      <w:pPr>
        <w:numPr>
          <w:ilvl w:val="0"/>
          <w:numId w:val="4"/>
        </w:numPr>
        <w:shd w:val="clear" w:color="auto" w:fill="FFFFFF"/>
        <w:spacing w:before="100" w:beforeAutospacing="1" w:after="100" w:afterAutospacing="1" w:line="240" w:lineRule="auto"/>
        <w:rPr>
          <w:rFonts w:ascii="Calibri" w:eastAsia="Times New Roman" w:hAnsi="Calibri" w:cstheme="minorHAnsi"/>
        </w:rPr>
      </w:pPr>
      <w:r w:rsidRPr="00655880">
        <w:rPr>
          <w:rFonts w:ascii="Calibri" w:eastAsia="Times New Roman" w:hAnsi="Calibri" w:cstheme="minorHAnsi"/>
        </w:rPr>
        <w:t xml:space="preserve">Preprocess the data </w:t>
      </w:r>
    </w:p>
    <w:p w14:paraId="0E4AAA51" w14:textId="77777777" w:rsidR="009D5063" w:rsidRPr="00655880" w:rsidRDefault="009D5063" w:rsidP="009D5063">
      <w:pPr>
        <w:numPr>
          <w:ilvl w:val="0"/>
          <w:numId w:val="4"/>
        </w:numPr>
        <w:shd w:val="clear" w:color="auto" w:fill="FFFFFF"/>
        <w:spacing w:before="100" w:beforeAutospacing="1" w:after="100" w:afterAutospacing="1" w:line="240" w:lineRule="auto"/>
        <w:rPr>
          <w:rFonts w:ascii="Calibri" w:eastAsia="Times New Roman" w:hAnsi="Calibri" w:cstheme="minorHAnsi"/>
        </w:rPr>
      </w:pPr>
      <w:r w:rsidRPr="00655880">
        <w:rPr>
          <w:rFonts w:ascii="Calibri" w:eastAsia="Times New Roman" w:hAnsi="Calibri" w:cstheme="minorHAnsi"/>
        </w:rPr>
        <w:t xml:space="preserve">Process the data </w:t>
      </w:r>
    </w:p>
    <w:p w14:paraId="6174A0C5" w14:textId="77777777" w:rsidR="009D5063" w:rsidRPr="00655880" w:rsidRDefault="009D5063" w:rsidP="009D5063">
      <w:pPr>
        <w:numPr>
          <w:ilvl w:val="0"/>
          <w:numId w:val="4"/>
        </w:numPr>
        <w:shd w:val="clear" w:color="auto" w:fill="FFFFFF"/>
        <w:spacing w:before="100" w:beforeAutospacing="1" w:after="100" w:afterAutospacing="1" w:line="240" w:lineRule="auto"/>
        <w:rPr>
          <w:rFonts w:ascii="Calibri" w:eastAsia="Times New Roman" w:hAnsi="Calibri" w:cstheme="minorHAnsi"/>
        </w:rPr>
      </w:pPr>
      <w:r w:rsidRPr="00655880">
        <w:rPr>
          <w:rFonts w:ascii="Calibri" w:eastAsia="Times New Roman" w:hAnsi="Calibri" w:cstheme="minorHAnsi"/>
        </w:rPr>
        <w:t>Build the model</w:t>
      </w:r>
      <w:r w:rsidR="00541031" w:rsidRPr="00655880">
        <w:rPr>
          <w:rFonts w:ascii="Calibri" w:eastAsia="Times New Roman" w:hAnsi="Calibri" w:cstheme="minorHAnsi"/>
        </w:rPr>
        <w:t>s</w:t>
      </w:r>
      <w:r w:rsidRPr="00655880">
        <w:rPr>
          <w:rFonts w:ascii="Calibri" w:eastAsia="Times New Roman" w:hAnsi="Calibri" w:cstheme="minorHAnsi"/>
        </w:rPr>
        <w:t xml:space="preserve"> – Linear regression and neural network (LSTM) seems to be popular on this type of data set.  Random forest to potentially classify the direction of the move in prices</w:t>
      </w:r>
      <w:r w:rsidR="00203B09" w:rsidRPr="00655880">
        <w:rPr>
          <w:rFonts w:ascii="Calibri" w:eastAsia="Times New Roman" w:hAnsi="Calibri" w:cstheme="minorHAnsi"/>
        </w:rPr>
        <w:t xml:space="preserve"> </w:t>
      </w:r>
      <w:r w:rsidRPr="00655880">
        <w:rPr>
          <w:rFonts w:ascii="Calibri" w:eastAsia="Times New Roman" w:hAnsi="Calibri" w:cstheme="minorHAnsi"/>
        </w:rPr>
        <w:t>(bearish/bullish).</w:t>
      </w:r>
    </w:p>
    <w:p w14:paraId="52488583" w14:textId="77777777" w:rsidR="009D5063" w:rsidRPr="00655880" w:rsidRDefault="009D5063" w:rsidP="009D5063">
      <w:pPr>
        <w:numPr>
          <w:ilvl w:val="0"/>
          <w:numId w:val="4"/>
        </w:numPr>
        <w:shd w:val="clear" w:color="auto" w:fill="FFFFFF"/>
        <w:spacing w:before="100" w:beforeAutospacing="1" w:after="100" w:afterAutospacing="1" w:line="240" w:lineRule="auto"/>
        <w:rPr>
          <w:rFonts w:ascii="Calibri" w:eastAsia="Times New Roman" w:hAnsi="Calibri" w:cstheme="minorHAnsi"/>
        </w:rPr>
      </w:pPr>
      <w:r w:rsidRPr="00655880">
        <w:rPr>
          <w:rFonts w:ascii="Calibri" w:eastAsia="Times New Roman" w:hAnsi="Calibri" w:cstheme="minorHAnsi"/>
        </w:rPr>
        <w:t>Test the model – train/test data sets</w:t>
      </w:r>
    </w:p>
    <w:p w14:paraId="4336CFF3" w14:textId="77777777" w:rsidR="009D5063" w:rsidRPr="00655880" w:rsidRDefault="009D5063" w:rsidP="009D5063">
      <w:pPr>
        <w:numPr>
          <w:ilvl w:val="0"/>
          <w:numId w:val="4"/>
        </w:numPr>
        <w:shd w:val="clear" w:color="auto" w:fill="FFFFFF"/>
        <w:spacing w:before="100" w:beforeAutospacing="1" w:after="100" w:afterAutospacing="1" w:line="240" w:lineRule="auto"/>
        <w:rPr>
          <w:rFonts w:ascii="Calibri" w:eastAsia="Times New Roman" w:hAnsi="Calibri" w:cstheme="minorHAnsi"/>
        </w:rPr>
      </w:pPr>
      <w:r w:rsidRPr="00655880">
        <w:rPr>
          <w:rFonts w:ascii="Calibri" w:eastAsia="Times New Roman" w:hAnsi="Calibri" w:cstheme="minorHAnsi"/>
        </w:rPr>
        <w:t>Build some type of back-testing system to test out a simple trading scenario.</w:t>
      </w:r>
    </w:p>
    <w:p w14:paraId="28D4838E" w14:textId="77777777" w:rsidR="009D5063" w:rsidRPr="00655880" w:rsidRDefault="009D5063" w:rsidP="009D5063">
      <w:pPr>
        <w:numPr>
          <w:ilvl w:val="0"/>
          <w:numId w:val="4"/>
        </w:numPr>
        <w:shd w:val="clear" w:color="auto" w:fill="FFFFFF"/>
        <w:spacing w:before="100" w:beforeAutospacing="1" w:after="0" w:line="240" w:lineRule="auto"/>
        <w:rPr>
          <w:rFonts w:ascii="Calibri" w:eastAsia="Times New Roman" w:hAnsi="Calibri" w:cstheme="minorHAnsi"/>
        </w:rPr>
      </w:pPr>
      <w:r w:rsidRPr="00655880">
        <w:rPr>
          <w:rFonts w:ascii="Calibri" w:eastAsia="Times New Roman" w:hAnsi="Calibri" w:cstheme="minorHAnsi"/>
        </w:rPr>
        <w:t>Dashboard build</w:t>
      </w:r>
    </w:p>
    <w:p w14:paraId="7BC7B619" w14:textId="77777777" w:rsidR="00DF3E19" w:rsidRPr="00655880" w:rsidRDefault="00DF3E19" w:rsidP="009D5063">
      <w:pPr>
        <w:numPr>
          <w:ilvl w:val="0"/>
          <w:numId w:val="4"/>
        </w:numPr>
        <w:shd w:val="clear" w:color="auto" w:fill="FFFFFF"/>
        <w:spacing w:before="100" w:beforeAutospacing="1" w:after="0" w:line="240" w:lineRule="auto"/>
        <w:rPr>
          <w:rFonts w:ascii="Calibri" w:eastAsia="Times New Roman" w:hAnsi="Calibri" w:cstheme="minorHAnsi"/>
        </w:rPr>
      </w:pPr>
      <w:r w:rsidRPr="00655880">
        <w:rPr>
          <w:rFonts w:ascii="Calibri" w:eastAsia="Times New Roman" w:hAnsi="Calibri" w:cstheme="minorHAnsi"/>
        </w:rPr>
        <w:t>Build application</w:t>
      </w:r>
    </w:p>
    <w:p w14:paraId="37A1E348" w14:textId="77777777" w:rsidR="00AF22D6" w:rsidRPr="00655880" w:rsidRDefault="009D5063" w:rsidP="00AF22D6">
      <w:pPr>
        <w:rPr>
          <w:rFonts w:ascii="Calibri" w:hAnsi="Calibri"/>
          <w:color w:val="249696"/>
          <w:sz w:val="28"/>
        </w:rPr>
      </w:pPr>
      <w:r w:rsidRPr="00655880">
        <w:rPr>
          <w:rFonts w:ascii="Calibri" w:hAnsi="Calibri"/>
          <w:color w:val="249696"/>
          <w:sz w:val="28"/>
        </w:rPr>
        <w:br/>
      </w:r>
      <w:r w:rsidR="00AF22D6" w:rsidRPr="00655880">
        <w:rPr>
          <w:rFonts w:ascii="Calibri" w:hAnsi="Calibri"/>
          <w:color w:val="249696"/>
          <w:sz w:val="28"/>
        </w:rPr>
        <w:t>Scope</w:t>
      </w:r>
    </w:p>
    <w:p w14:paraId="589900EB" w14:textId="77777777" w:rsidR="00AF22D6" w:rsidRPr="00655880" w:rsidRDefault="00AF22D6" w:rsidP="00AF22D6">
      <w:pPr>
        <w:rPr>
          <w:rFonts w:ascii="Calibri" w:hAnsi="Calibri"/>
          <w:color w:val="50B67F"/>
          <w:sz w:val="24"/>
        </w:rPr>
      </w:pPr>
      <w:r w:rsidRPr="00655880">
        <w:rPr>
          <w:rFonts w:ascii="Calibri" w:hAnsi="Calibri"/>
          <w:color w:val="50B67F"/>
          <w:sz w:val="24"/>
        </w:rPr>
        <w:t>Functions in Scope</w:t>
      </w:r>
    </w:p>
    <w:p w14:paraId="00C52751" w14:textId="77777777" w:rsidR="00AF22D6" w:rsidRPr="00655880" w:rsidRDefault="00DF3E19" w:rsidP="00C32F6F">
      <w:pPr>
        <w:pStyle w:val="ListParagraph"/>
        <w:numPr>
          <w:ilvl w:val="0"/>
          <w:numId w:val="10"/>
        </w:numPr>
        <w:rPr>
          <w:rFonts w:ascii="Calibri" w:hAnsi="Calibri"/>
        </w:rPr>
      </w:pPr>
      <w:r w:rsidRPr="00655880">
        <w:rPr>
          <w:rFonts w:ascii="Calibri" w:hAnsi="Calibri"/>
        </w:rPr>
        <w:t>Exploratory data analysis</w:t>
      </w:r>
    </w:p>
    <w:p w14:paraId="26821024" w14:textId="77777777" w:rsidR="00AF22D6" w:rsidRPr="00655880" w:rsidRDefault="00DF3E19" w:rsidP="00C32F6F">
      <w:pPr>
        <w:pStyle w:val="ListParagraph"/>
        <w:numPr>
          <w:ilvl w:val="0"/>
          <w:numId w:val="10"/>
        </w:numPr>
        <w:rPr>
          <w:rFonts w:ascii="Calibri" w:hAnsi="Calibri"/>
        </w:rPr>
      </w:pPr>
      <w:r w:rsidRPr="00655880">
        <w:rPr>
          <w:rFonts w:ascii="Calibri" w:hAnsi="Calibri"/>
        </w:rPr>
        <w:t>Model development in R, Python, and/or Excel</w:t>
      </w:r>
    </w:p>
    <w:p w14:paraId="66B1F404" w14:textId="77777777" w:rsidR="00AF22D6" w:rsidRPr="00655880" w:rsidRDefault="00DF3E19" w:rsidP="00C32F6F">
      <w:pPr>
        <w:pStyle w:val="ListParagraph"/>
        <w:numPr>
          <w:ilvl w:val="0"/>
          <w:numId w:val="10"/>
        </w:numPr>
        <w:rPr>
          <w:rFonts w:ascii="Calibri" w:hAnsi="Calibri"/>
        </w:rPr>
      </w:pPr>
      <w:r w:rsidRPr="00655880">
        <w:rPr>
          <w:rFonts w:ascii="Calibri" w:hAnsi="Calibri"/>
        </w:rPr>
        <w:t>Model testing and validation</w:t>
      </w:r>
    </w:p>
    <w:p w14:paraId="53EB38F9" w14:textId="77777777" w:rsidR="00DF3E19" w:rsidRPr="00655880" w:rsidRDefault="00DF3E19" w:rsidP="00C32F6F">
      <w:pPr>
        <w:pStyle w:val="ListParagraph"/>
        <w:numPr>
          <w:ilvl w:val="0"/>
          <w:numId w:val="10"/>
        </w:numPr>
        <w:rPr>
          <w:rFonts w:ascii="Calibri" w:hAnsi="Calibri"/>
        </w:rPr>
      </w:pPr>
      <w:r w:rsidRPr="00655880">
        <w:rPr>
          <w:rFonts w:ascii="Calibri" w:hAnsi="Calibri"/>
        </w:rPr>
        <w:t>Trading strategy recommendation(s)</w:t>
      </w:r>
    </w:p>
    <w:p w14:paraId="01F57FD4" w14:textId="77777777" w:rsidR="00DF3E19" w:rsidRPr="00655880" w:rsidRDefault="00DF3E19" w:rsidP="00C32F6F">
      <w:pPr>
        <w:pStyle w:val="ListParagraph"/>
        <w:numPr>
          <w:ilvl w:val="0"/>
          <w:numId w:val="10"/>
        </w:numPr>
        <w:rPr>
          <w:rFonts w:ascii="Calibri" w:hAnsi="Calibri"/>
        </w:rPr>
      </w:pPr>
      <w:r w:rsidRPr="00655880">
        <w:rPr>
          <w:rFonts w:ascii="Calibri" w:hAnsi="Calibri"/>
        </w:rPr>
        <w:t>Trading strategy benchmarking versus relevant indices/benchmarks</w:t>
      </w:r>
    </w:p>
    <w:p w14:paraId="4235938D" w14:textId="77777777" w:rsidR="00AF22D6" w:rsidRPr="00655880" w:rsidRDefault="00DF3E19" w:rsidP="00C32F6F">
      <w:pPr>
        <w:pStyle w:val="ListParagraph"/>
        <w:numPr>
          <w:ilvl w:val="0"/>
          <w:numId w:val="10"/>
        </w:numPr>
        <w:rPr>
          <w:rFonts w:ascii="Calibri" w:hAnsi="Calibri"/>
        </w:rPr>
      </w:pPr>
      <w:r w:rsidRPr="00655880">
        <w:rPr>
          <w:rFonts w:ascii="Calibri" w:hAnsi="Calibri"/>
        </w:rPr>
        <w:t>Dashboard development using R</w:t>
      </w:r>
    </w:p>
    <w:p w14:paraId="1C6A5029" w14:textId="77777777" w:rsidR="00AF22D6" w:rsidRPr="00655880" w:rsidRDefault="00DF3E19" w:rsidP="00C32F6F">
      <w:pPr>
        <w:pStyle w:val="ListParagraph"/>
        <w:numPr>
          <w:ilvl w:val="0"/>
          <w:numId w:val="10"/>
        </w:numPr>
        <w:rPr>
          <w:rFonts w:ascii="Calibri" w:hAnsi="Calibri"/>
        </w:rPr>
      </w:pPr>
      <w:r w:rsidRPr="00655880">
        <w:rPr>
          <w:rFonts w:ascii="Calibri" w:hAnsi="Calibri"/>
        </w:rPr>
        <w:t>Application development using R</w:t>
      </w:r>
    </w:p>
    <w:p w14:paraId="3591E766" w14:textId="77777777" w:rsidR="00AF22D6" w:rsidRPr="00655880" w:rsidRDefault="00AF22D6" w:rsidP="00AF22D6">
      <w:pPr>
        <w:rPr>
          <w:rFonts w:ascii="Calibri" w:hAnsi="Calibri"/>
          <w:color w:val="50B67F"/>
          <w:sz w:val="24"/>
        </w:rPr>
      </w:pPr>
      <w:r w:rsidRPr="00655880">
        <w:rPr>
          <w:rFonts w:ascii="Calibri" w:hAnsi="Calibri"/>
          <w:color w:val="50B67F"/>
          <w:sz w:val="24"/>
        </w:rPr>
        <w:t>Functions Out of Scope</w:t>
      </w:r>
    </w:p>
    <w:p w14:paraId="3966F7DE" w14:textId="77777777" w:rsidR="00AF22D6" w:rsidRPr="00655880" w:rsidRDefault="006B6386" w:rsidP="0099266B">
      <w:pPr>
        <w:pStyle w:val="ListParagraph"/>
        <w:numPr>
          <w:ilvl w:val="0"/>
          <w:numId w:val="5"/>
        </w:numPr>
        <w:rPr>
          <w:rFonts w:ascii="Calibri" w:hAnsi="Calibri"/>
        </w:rPr>
      </w:pPr>
      <w:r w:rsidRPr="00655880">
        <w:rPr>
          <w:rFonts w:ascii="Calibri" w:hAnsi="Calibri"/>
        </w:rPr>
        <w:t>A plan for updating the base data over time (no API’s or data automation efforts)</w:t>
      </w:r>
    </w:p>
    <w:p w14:paraId="3E3FC1E3" w14:textId="77777777" w:rsidR="00AF22D6" w:rsidRPr="00655880" w:rsidRDefault="006B6386" w:rsidP="0099266B">
      <w:pPr>
        <w:pStyle w:val="ListParagraph"/>
        <w:numPr>
          <w:ilvl w:val="0"/>
          <w:numId w:val="5"/>
        </w:numPr>
        <w:rPr>
          <w:rFonts w:ascii="Calibri" w:hAnsi="Calibri"/>
        </w:rPr>
      </w:pPr>
      <w:r w:rsidRPr="00655880">
        <w:rPr>
          <w:rFonts w:ascii="Calibri" w:hAnsi="Calibri"/>
        </w:rPr>
        <w:t>Predicting the impact of potential future macroeconomic factors (such as changes in elected officials, potential military conflicts, etcetera)</w:t>
      </w:r>
    </w:p>
    <w:p w14:paraId="2EFDEAD2" w14:textId="77777777" w:rsidR="00AF22D6" w:rsidRPr="00655880" w:rsidRDefault="006B6386" w:rsidP="0099266B">
      <w:pPr>
        <w:pStyle w:val="ListParagraph"/>
        <w:numPr>
          <w:ilvl w:val="0"/>
          <w:numId w:val="5"/>
        </w:numPr>
        <w:rPr>
          <w:rFonts w:ascii="Calibri" w:hAnsi="Calibri"/>
        </w:rPr>
      </w:pPr>
      <w:r w:rsidRPr="00655880">
        <w:rPr>
          <w:rFonts w:ascii="Calibri" w:hAnsi="Calibri"/>
        </w:rPr>
        <w:t xml:space="preserve">Text analytics, such as scraping electronic news articles and/or websites to formulate a target price </w:t>
      </w:r>
    </w:p>
    <w:p w14:paraId="69EBD9E2" w14:textId="77777777" w:rsidR="004743FC" w:rsidRPr="00655880" w:rsidRDefault="004743FC" w:rsidP="004743FC">
      <w:pPr>
        <w:rPr>
          <w:rFonts w:ascii="Calibri" w:hAnsi="Calibri"/>
          <w:color w:val="249696"/>
          <w:sz w:val="28"/>
        </w:rPr>
      </w:pPr>
      <w:r w:rsidRPr="00655880">
        <w:rPr>
          <w:rFonts w:ascii="Calibri" w:hAnsi="Calibri"/>
          <w:color w:val="249696"/>
          <w:sz w:val="28"/>
        </w:rPr>
        <w:t>References</w:t>
      </w:r>
    </w:p>
    <w:p w14:paraId="1D2E2EC6" w14:textId="10B2D462" w:rsidR="004743FC" w:rsidRPr="00F3053A" w:rsidRDefault="00967B6F" w:rsidP="004743FC">
      <w:pPr>
        <w:pStyle w:val="NoSpacing"/>
        <w:numPr>
          <w:ilvl w:val="0"/>
          <w:numId w:val="9"/>
        </w:numPr>
        <w:rPr>
          <w:rFonts w:ascii="Calibri" w:hAnsi="Calibri"/>
          <w:sz w:val="20"/>
          <w:szCs w:val="20"/>
        </w:rPr>
      </w:pPr>
      <w:hyperlink r:id="rId12" w:history="1">
        <w:r w:rsidR="004743FC" w:rsidRPr="00F3053A">
          <w:rPr>
            <w:rStyle w:val="Hyperlink"/>
            <w:rFonts w:ascii="Calibri" w:hAnsi="Calibri"/>
            <w:color w:val="auto"/>
            <w:sz w:val="20"/>
            <w:szCs w:val="20"/>
            <w:u w:val="none"/>
          </w:rPr>
          <w:t>https://www.bloomberg.com/news/articles/2018-11-19/hedge-fund-s-accounts-liquidated-amid-energy-market-volatility</w:t>
        </w:r>
      </w:hyperlink>
    </w:p>
    <w:p w14:paraId="7547AA32" w14:textId="6187ED6F" w:rsidR="00876A6C" w:rsidRPr="00F3053A" w:rsidRDefault="00967B6F" w:rsidP="00876A6C">
      <w:pPr>
        <w:pStyle w:val="NoSpacing"/>
        <w:numPr>
          <w:ilvl w:val="0"/>
          <w:numId w:val="9"/>
        </w:numPr>
        <w:rPr>
          <w:rFonts w:ascii="Calibri" w:hAnsi="Calibri"/>
          <w:color w:val="249696"/>
          <w:sz w:val="20"/>
          <w:szCs w:val="20"/>
        </w:rPr>
      </w:pPr>
      <w:hyperlink r:id="rId13" w:history="1">
        <w:r w:rsidR="004743FC" w:rsidRPr="00F3053A">
          <w:rPr>
            <w:rStyle w:val="Hyperlink"/>
            <w:rFonts w:ascii="Calibri" w:hAnsi="Calibri"/>
            <w:color w:val="auto"/>
            <w:sz w:val="20"/>
            <w:szCs w:val="20"/>
            <w:u w:val="none"/>
          </w:rPr>
          <w:t>https://seekingalpha.com/article/4174551-problems-commodity-funds</w:t>
        </w:r>
      </w:hyperlink>
    </w:p>
    <w:p w14:paraId="25EAE2C0" w14:textId="2FF1F13E" w:rsidR="00F3053A" w:rsidRPr="00F3053A" w:rsidRDefault="00F3053A" w:rsidP="004743FC">
      <w:pPr>
        <w:pStyle w:val="NoSpacing"/>
        <w:numPr>
          <w:ilvl w:val="0"/>
          <w:numId w:val="9"/>
        </w:numPr>
        <w:rPr>
          <w:rFonts w:ascii="Calibri" w:hAnsi="Calibri"/>
          <w:color w:val="249696"/>
          <w:sz w:val="20"/>
          <w:szCs w:val="20"/>
        </w:rPr>
      </w:pPr>
      <w:hyperlink r:id="rId14" w:history="1">
        <w:r w:rsidRPr="00F3053A">
          <w:rPr>
            <w:rStyle w:val="Hyperlink"/>
            <w:rFonts w:ascii="Calibri" w:hAnsi="Calibri"/>
            <w:sz w:val="20"/>
            <w:szCs w:val="20"/>
          </w:rPr>
          <w:t>https://www.cnbc.com/2019/03/19/passive-investing-now-controls-nearly-half-the-us-stock-market.html</w:t>
        </w:r>
      </w:hyperlink>
    </w:p>
    <w:p w14:paraId="4E9B4B82" w14:textId="7D379865" w:rsidR="00746BED" w:rsidRPr="00F3053A" w:rsidRDefault="00746BED" w:rsidP="00F3053A">
      <w:pPr>
        <w:pStyle w:val="NoSpacing"/>
        <w:numPr>
          <w:ilvl w:val="0"/>
          <w:numId w:val="9"/>
        </w:numPr>
        <w:rPr>
          <w:rFonts w:ascii="Calibri" w:hAnsi="Calibri"/>
          <w:color w:val="249696"/>
          <w:sz w:val="20"/>
          <w:szCs w:val="20"/>
        </w:rPr>
      </w:pPr>
      <w:r w:rsidRPr="00F3053A">
        <w:rPr>
          <w:rFonts w:ascii="Calibri" w:hAnsi="Calibri"/>
          <w:sz w:val="20"/>
          <w:szCs w:val="20"/>
        </w:rPr>
        <w:t>https://www.cfainstitute.org/-/media/documents/support/programs/investment-foundations/14-investment-vehicles.ashx?la=en&amp;hash=5EAC60626C6439B462AED93EBA3D341EAB2E5FE4</w:t>
      </w:r>
    </w:p>
    <w:p w14:paraId="233FE28B" w14:textId="2F681E85" w:rsidR="00746BED" w:rsidRPr="00F3053A" w:rsidRDefault="00746BED" w:rsidP="004743FC">
      <w:pPr>
        <w:pStyle w:val="NoSpacing"/>
        <w:numPr>
          <w:ilvl w:val="0"/>
          <w:numId w:val="9"/>
        </w:numPr>
        <w:rPr>
          <w:rFonts w:ascii="Calibri" w:hAnsi="Calibri"/>
          <w:color w:val="249696"/>
          <w:sz w:val="20"/>
          <w:szCs w:val="20"/>
        </w:rPr>
      </w:pPr>
      <w:r w:rsidRPr="00F3053A">
        <w:rPr>
          <w:rFonts w:ascii="Calibri" w:hAnsi="Calibri"/>
          <w:sz w:val="20"/>
          <w:szCs w:val="20"/>
        </w:rPr>
        <w:t>https://www.sec.gov/investor/alerts/ib_hedgefunds.pdf</w:t>
      </w:r>
    </w:p>
    <w:p w14:paraId="1F076BA2" w14:textId="77777777" w:rsidR="004743FC" w:rsidRPr="00F3053A" w:rsidRDefault="004743FC" w:rsidP="004743FC">
      <w:pPr>
        <w:rPr>
          <w:rFonts w:ascii="Calibri" w:hAnsi="Calibri"/>
          <w:sz w:val="20"/>
          <w:szCs w:val="20"/>
        </w:rPr>
      </w:pPr>
    </w:p>
    <w:sectPr w:rsidR="004743FC" w:rsidRPr="00F3053A" w:rsidSect="00DF3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B43E6" w14:textId="77777777" w:rsidR="00967B6F" w:rsidRDefault="00967B6F" w:rsidP="0085215F">
      <w:pPr>
        <w:spacing w:after="0" w:line="240" w:lineRule="auto"/>
      </w:pPr>
      <w:r>
        <w:separator/>
      </w:r>
    </w:p>
  </w:endnote>
  <w:endnote w:type="continuationSeparator" w:id="0">
    <w:p w14:paraId="76565487" w14:textId="77777777" w:rsidR="00967B6F" w:rsidRDefault="00967B6F" w:rsidP="0085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CC371" w14:textId="77777777" w:rsidR="00967B6F" w:rsidRDefault="00967B6F" w:rsidP="0085215F">
      <w:pPr>
        <w:spacing w:after="0" w:line="240" w:lineRule="auto"/>
      </w:pPr>
      <w:r>
        <w:separator/>
      </w:r>
    </w:p>
  </w:footnote>
  <w:footnote w:type="continuationSeparator" w:id="0">
    <w:p w14:paraId="387EE2AD" w14:textId="77777777" w:rsidR="00967B6F" w:rsidRDefault="00967B6F" w:rsidP="00852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631"/>
    <w:multiLevelType w:val="hybridMultilevel"/>
    <w:tmpl w:val="4260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2A86"/>
    <w:multiLevelType w:val="hybridMultilevel"/>
    <w:tmpl w:val="4F08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56A74"/>
    <w:multiLevelType w:val="hybridMultilevel"/>
    <w:tmpl w:val="E9E81794"/>
    <w:lvl w:ilvl="0" w:tplc="E3BC6700">
      <w:start w:val="1"/>
      <w:numFmt w:val="decimal"/>
      <w:lvlText w:val="%1."/>
      <w:lvlJc w:val="left"/>
      <w:pPr>
        <w:ind w:left="760" w:hanging="360"/>
      </w:pPr>
      <w:rPr>
        <w:rFonts w:asciiTheme="minorHAnsi" w:eastAsiaTheme="minorHAnsi" w:hAnsiTheme="minorHAnsi" w:cstheme="minorBidi"/>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2E331279"/>
    <w:multiLevelType w:val="hybridMultilevel"/>
    <w:tmpl w:val="D756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6ED2"/>
    <w:multiLevelType w:val="hybridMultilevel"/>
    <w:tmpl w:val="F290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F1D62"/>
    <w:multiLevelType w:val="hybridMultilevel"/>
    <w:tmpl w:val="C0A64420"/>
    <w:lvl w:ilvl="0" w:tplc="E3BC670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6" w15:restartNumberingAfterBreak="0">
    <w:nsid w:val="63CB2409"/>
    <w:multiLevelType w:val="hybridMultilevel"/>
    <w:tmpl w:val="5DD6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C4462"/>
    <w:multiLevelType w:val="hybridMultilevel"/>
    <w:tmpl w:val="53207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71B5"/>
    <w:multiLevelType w:val="hybridMultilevel"/>
    <w:tmpl w:val="02667F58"/>
    <w:lvl w:ilvl="0" w:tplc="5B7056BC">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9" w15:restartNumberingAfterBreak="0">
    <w:nsid w:val="7C84342F"/>
    <w:multiLevelType w:val="hybridMultilevel"/>
    <w:tmpl w:val="90FE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B1E5D"/>
    <w:multiLevelType w:val="hybridMultilevel"/>
    <w:tmpl w:val="E9E81794"/>
    <w:lvl w:ilvl="0" w:tplc="E3BC6700">
      <w:start w:val="1"/>
      <w:numFmt w:val="decimal"/>
      <w:lvlText w:val="%1."/>
      <w:lvlJc w:val="left"/>
      <w:pPr>
        <w:ind w:left="760" w:hanging="360"/>
      </w:pPr>
      <w:rPr>
        <w:rFonts w:asciiTheme="minorHAnsi" w:eastAsiaTheme="minorHAnsi" w:hAnsiTheme="minorHAnsi" w:cstheme="minorBidi"/>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8"/>
  </w:num>
  <w:num w:numId="2">
    <w:abstractNumId w:val="10"/>
  </w:num>
  <w:num w:numId="3">
    <w:abstractNumId w:val="4"/>
  </w:num>
  <w:num w:numId="4">
    <w:abstractNumId w:val="6"/>
  </w:num>
  <w:num w:numId="5">
    <w:abstractNumId w:val="1"/>
  </w:num>
  <w:num w:numId="6">
    <w:abstractNumId w:val="7"/>
  </w:num>
  <w:num w:numId="7">
    <w:abstractNumId w:val="9"/>
  </w:num>
  <w:num w:numId="8">
    <w:abstractNumId w:val="3"/>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zNjSzsDCxNDcxtDBQ0lEKTi0uzszPAykwrAUAxqAifSwAAAA="/>
  </w:docVars>
  <w:rsids>
    <w:rsidRoot w:val="0085215F"/>
    <w:rsid w:val="00000972"/>
    <w:rsid w:val="00006BEF"/>
    <w:rsid w:val="000077A8"/>
    <w:rsid w:val="000535BF"/>
    <w:rsid w:val="0008532B"/>
    <w:rsid w:val="000C1C0E"/>
    <w:rsid w:val="000E4D0C"/>
    <w:rsid w:val="000E7A27"/>
    <w:rsid w:val="000F68EE"/>
    <w:rsid w:val="001000E3"/>
    <w:rsid w:val="0013059C"/>
    <w:rsid w:val="0013165A"/>
    <w:rsid w:val="00152667"/>
    <w:rsid w:val="00183ACE"/>
    <w:rsid w:val="001902E6"/>
    <w:rsid w:val="001941D1"/>
    <w:rsid w:val="001C0345"/>
    <w:rsid w:val="001F1DA4"/>
    <w:rsid w:val="00203B09"/>
    <w:rsid w:val="00227446"/>
    <w:rsid w:val="00236939"/>
    <w:rsid w:val="00240B35"/>
    <w:rsid w:val="002477EC"/>
    <w:rsid w:val="00251007"/>
    <w:rsid w:val="00255099"/>
    <w:rsid w:val="00267E69"/>
    <w:rsid w:val="002C288A"/>
    <w:rsid w:val="002D3BE5"/>
    <w:rsid w:val="002F45E6"/>
    <w:rsid w:val="002F4BA3"/>
    <w:rsid w:val="002F5F9A"/>
    <w:rsid w:val="00307921"/>
    <w:rsid w:val="00311CA1"/>
    <w:rsid w:val="00322761"/>
    <w:rsid w:val="003343E0"/>
    <w:rsid w:val="00363F5F"/>
    <w:rsid w:val="00376FC8"/>
    <w:rsid w:val="0039147C"/>
    <w:rsid w:val="003D6D14"/>
    <w:rsid w:val="003E0D2F"/>
    <w:rsid w:val="00403485"/>
    <w:rsid w:val="00406A5A"/>
    <w:rsid w:val="00420B46"/>
    <w:rsid w:val="00424FC0"/>
    <w:rsid w:val="0042503B"/>
    <w:rsid w:val="004409EE"/>
    <w:rsid w:val="00452C42"/>
    <w:rsid w:val="00466487"/>
    <w:rsid w:val="004743FC"/>
    <w:rsid w:val="00493BDB"/>
    <w:rsid w:val="004C59E4"/>
    <w:rsid w:val="004C7250"/>
    <w:rsid w:val="004D5EAA"/>
    <w:rsid w:val="004E7BF3"/>
    <w:rsid w:val="005046B4"/>
    <w:rsid w:val="00505A63"/>
    <w:rsid w:val="00541031"/>
    <w:rsid w:val="005452A8"/>
    <w:rsid w:val="00577C42"/>
    <w:rsid w:val="005A5579"/>
    <w:rsid w:val="005E2F07"/>
    <w:rsid w:val="005F78FA"/>
    <w:rsid w:val="005F7A29"/>
    <w:rsid w:val="00620E6D"/>
    <w:rsid w:val="00637F13"/>
    <w:rsid w:val="00653183"/>
    <w:rsid w:val="00655880"/>
    <w:rsid w:val="00666762"/>
    <w:rsid w:val="0067320A"/>
    <w:rsid w:val="00675E5F"/>
    <w:rsid w:val="00692191"/>
    <w:rsid w:val="006A021F"/>
    <w:rsid w:val="006A1B70"/>
    <w:rsid w:val="006B5074"/>
    <w:rsid w:val="006B6386"/>
    <w:rsid w:val="006D2C37"/>
    <w:rsid w:val="007148B2"/>
    <w:rsid w:val="007253D3"/>
    <w:rsid w:val="00746BED"/>
    <w:rsid w:val="007507A7"/>
    <w:rsid w:val="00756F2F"/>
    <w:rsid w:val="007639B4"/>
    <w:rsid w:val="00780164"/>
    <w:rsid w:val="007D6929"/>
    <w:rsid w:val="00806445"/>
    <w:rsid w:val="008154FE"/>
    <w:rsid w:val="008230E8"/>
    <w:rsid w:val="0082546B"/>
    <w:rsid w:val="00827D3D"/>
    <w:rsid w:val="00835428"/>
    <w:rsid w:val="008400FD"/>
    <w:rsid w:val="0085215F"/>
    <w:rsid w:val="0087024D"/>
    <w:rsid w:val="00876A6C"/>
    <w:rsid w:val="00887B43"/>
    <w:rsid w:val="008B0080"/>
    <w:rsid w:val="008B3BF3"/>
    <w:rsid w:val="008C5E15"/>
    <w:rsid w:val="008D2A90"/>
    <w:rsid w:val="008D6EBC"/>
    <w:rsid w:val="009035D1"/>
    <w:rsid w:val="009418EA"/>
    <w:rsid w:val="00955281"/>
    <w:rsid w:val="00957C07"/>
    <w:rsid w:val="00967B6F"/>
    <w:rsid w:val="00990B4A"/>
    <w:rsid w:val="0099266B"/>
    <w:rsid w:val="00995574"/>
    <w:rsid w:val="009D5063"/>
    <w:rsid w:val="009E6630"/>
    <w:rsid w:val="00A2479F"/>
    <w:rsid w:val="00A9736D"/>
    <w:rsid w:val="00AC6FB5"/>
    <w:rsid w:val="00AD3913"/>
    <w:rsid w:val="00AF149F"/>
    <w:rsid w:val="00AF22D6"/>
    <w:rsid w:val="00B27D84"/>
    <w:rsid w:val="00B40F0E"/>
    <w:rsid w:val="00B44953"/>
    <w:rsid w:val="00B5477D"/>
    <w:rsid w:val="00B8337C"/>
    <w:rsid w:val="00BA632B"/>
    <w:rsid w:val="00BB2A82"/>
    <w:rsid w:val="00BB6E58"/>
    <w:rsid w:val="00BC1E78"/>
    <w:rsid w:val="00BC7161"/>
    <w:rsid w:val="00BD42AC"/>
    <w:rsid w:val="00BF510C"/>
    <w:rsid w:val="00BF5CBE"/>
    <w:rsid w:val="00BF6051"/>
    <w:rsid w:val="00C063BD"/>
    <w:rsid w:val="00C2263A"/>
    <w:rsid w:val="00C265A2"/>
    <w:rsid w:val="00C275CE"/>
    <w:rsid w:val="00C32F6F"/>
    <w:rsid w:val="00C412D4"/>
    <w:rsid w:val="00C6151C"/>
    <w:rsid w:val="00C73F51"/>
    <w:rsid w:val="00C8216C"/>
    <w:rsid w:val="00C92BB1"/>
    <w:rsid w:val="00CE2D39"/>
    <w:rsid w:val="00D04136"/>
    <w:rsid w:val="00D050FC"/>
    <w:rsid w:val="00D051ED"/>
    <w:rsid w:val="00D56BEB"/>
    <w:rsid w:val="00D60515"/>
    <w:rsid w:val="00D81041"/>
    <w:rsid w:val="00DB0FBB"/>
    <w:rsid w:val="00DB7BC2"/>
    <w:rsid w:val="00DC29A6"/>
    <w:rsid w:val="00DC4993"/>
    <w:rsid w:val="00DD5774"/>
    <w:rsid w:val="00DE5DCE"/>
    <w:rsid w:val="00DE78E8"/>
    <w:rsid w:val="00DF1FBF"/>
    <w:rsid w:val="00DF3E19"/>
    <w:rsid w:val="00E4078E"/>
    <w:rsid w:val="00E4366D"/>
    <w:rsid w:val="00E86C01"/>
    <w:rsid w:val="00EA4ACC"/>
    <w:rsid w:val="00EA79AC"/>
    <w:rsid w:val="00EC5249"/>
    <w:rsid w:val="00EF5704"/>
    <w:rsid w:val="00F20078"/>
    <w:rsid w:val="00F3053A"/>
    <w:rsid w:val="00F461C0"/>
    <w:rsid w:val="00F50E2D"/>
    <w:rsid w:val="00F6131D"/>
    <w:rsid w:val="00F74F68"/>
    <w:rsid w:val="00F9103D"/>
    <w:rsid w:val="00FC5BCD"/>
    <w:rsid w:val="00FD3712"/>
    <w:rsid w:val="00FE1F1B"/>
    <w:rsid w:val="00FF2FCB"/>
    <w:rsid w:val="00FF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3528E"/>
  <w15:chartTrackingRefBased/>
  <w15:docId w15:val="{284202B8-B0F3-C740-A20C-B9488EE2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880"/>
  </w:style>
  <w:style w:type="paragraph" w:styleId="Heading1">
    <w:name w:val="heading 1"/>
    <w:basedOn w:val="Normal"/>
    <w:next w:val="Normal"/>
    <w:link w:val="Heading1Char"/>
    <w:uiPriority w:val="9"/>
    <w:qFormat/>
    <w:rsid w:val="00655880"/>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semiHidden/>
    <w:unhideWhenUsed/>
    <w:qFormat/>
    <w:rsid w:val="00655880"/>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655880"/>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655880"/>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655880"/>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655880"/>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6558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5880"/>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6558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15F"/>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85215F"/>
  </w:style>
  <w:style w:type="paragraph" w:styleId="Footer">
    <w:name w:val="footer"/>
    <w:basedOn w:val="Normal"/>
    <w:link w:val="FooterChar"/>
    <w:uiPriority w:val="99"/>
    <w:unhideWhenUsed/>
    <w:rsid w:val="0085215F"/>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85215F"/>
  </w:style>
  <w:style w:type="paragraph" w:styleId="ListParagraph">
    <w:name w:val="List Paragraph"/>
    <w:basedOn w:val="Normal"/>
    <w:uiPriority w:val="34"/>
    <w:qFormat/>
    <w:rsid w:val="0082546B"/>
    <w:pPr>
      <w:ind w:left="720"/>
      <w:contextualSpacing/>
    </w:pPr>
  </w:style>
  <w:style w:type="paragraph" w:styleId="NoSpacing">
    <w:name w:val="No Spacing"/>
    <w:uiPriority w:val="1"/>
    <w:qFormat/>
    <w:rsid w:val="00655880"/>
    <w:pPr>
      <w:spacing w:after="0" w:line="240" w:lineRule="auto"/>
    </w:pPr>
  </w:style>
  <w:style w:type="paragraph" w:customStyle="1" w:styleId="p">
    <w:name w:val="p"/>
    <w:basedOn w:val="Normal"/>
    <w:rsid w:val="003D6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3FC"/>
    <w:rPr>
      <w:color w:val="0000FF"/>
      <w:u w:val="single"/>
    </w:rPr>
  </w:style>
  <w:style w:type="character" w:customStyle="1" w:styleId="Heading1Char">
    <w:name w:val="Heading 1 Char"/>
    <w:basedOn w:val="DefaultParagraphFont"/>
    <w:link w:val="Heading1"/>
    <w:uiPriority w:val="9"/>
    <w:rsid w:val="00655880"/>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semiHidden/>
    <w:rsid w:val="00655880"/>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655880"/>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655880"/>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655880"/>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655880"/>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6558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5880"/>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65588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5880"/>
    <w:pPr>
      <w:spacing w:line="240" w:lineRule="auto"/>
    </w:pPr>
    <w:rPr>
      <w:b/>
      <w:bCs/>
      <w:color w:val="052F61" w:themeColor="accent1"/>
      <w:sz w:val="18"/>
      <w:szCs w:val="18"/>
    </w:rPr>
  </w:style>
  <w:style w:type="paragraph" w:styleId="Title">
    <w:name w:val="Title"/>
    <w:basedOn w:val="Normal"/>
    <w:next w:val="Normal"/>
    <w:link w:val="TitleChar"/>
    <w:uiPriority w:val="10"/>
    <w:qFormat/>
    <w:rsid w:val="00655880"/>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655880"/>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655880"/>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655880"/>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655880"/>
    <w:rPr>
      <w:b/>
      <w:bCs/>
    </w:rPr>
  </w:style>
  <w:style w:type="character" w:styleId="Emphasis">
    <w:name w:val="Emphasis"/>
    <w:basedOn w:val="DefaultParagraphFont"/>
    <w:uiPriority w:val="20"/>
    <w:qFormat/>
    <w:rsid w:val="00655880"/>
    <w:rPr>
      <w:i/>
      <w:iCs/>
    </w:rPr>
  </w:style>
  <w:style w:type="paragraph" w:styleId="Quote">
    <w:name w:val="Quote"/>
    <w:basedOn w:val="Normal"/>
    <w:next w:val="Normal"/>
    <w:link w:val="QuoteChar"/>
    <w:uiPriority w:val="29"/>
    <w:qFormat/>
    <w:rsid w:val="00655880"/>
    <w:rPr>
      <w:i/>
      <w:iCs/>
      <w:color w:val="000000" w:themeColor="text1"/>
    </w:rPr>
  </w:style>
  <w:style w:type="character" w:customStyle="1" w:styleId="QuoteChar">
    <w:name w:val="Quote Char"/>
    <w:basedOn w:val="DefaultParagraphFont"/>
    <w:link w:val="Quote"/>
    <w:uiPriority w:val="29"/>
    <w:rsid w:val="00655880"/>
    <w:rPr>
      <w:i/>
      <w:iCs/>
      <w:color w:val="000000" w:themeColor="text1"/>
    </w:rPr>
  </w:style>
  <w:style w:type="paragraph" w:styleId="IntenseQuote">
    <w:name w:val="Intense Quote"/>
    <w:basedOn w:val="Normal"/>
    <w:next w:val="Normal"/>
    <w:link w:val="IntenseQuoteChar"/>
    <w:uiPriority w:val="30"/>
    <w:qFormat/>
    <w:rsid w:val="00655880"/>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655880"/>
    <w:rPr>
      <w:b/>
      <w:bCs/>
      <w:i/>
      <w:iCs/>
      <w:color w:val="052F61" w:themeColor="accent1"/>
    </w:rPr>
  </w:style>
  <w:style w:type="character" w:styleId="SubtleEmphasis">
    <w:name w:val="Subtle Emphasis"/>
    <w:basedOn w:val="DefaultParagraphFont"/>
    <w:uiPriority w:val="19"/>
    <w:qFormat/>
    <w:rsid w:val="00655880"/>
    <w:rPr>
      <w:i/>
      <w:iCs/>
      <w:color w:val="808080" w:themeColor="text1" w:themeTint="7F"/>
    </w:rPr>
  </w:style>
  <w:style w:type="character" w:styleId="IntenseEmphasis">
    <w:name w:val="Intense Emphasis"/>
    <w:basedOn w:val="DefaultParagraphFont"/>
    <w:uiPriority w:val="21"/>
    <w:qFormat/>
    <w:rsid w:val="00655880"/>
    <w:rPr>
      <w:b/>
      <w:bCs/>
      <w:i/>
      <w:iCs/>
      <w:color w:val="052F61" w:themeColor="accent1"/>
    </w:rPr>
  </w:style>
  <w:style w:type="character" w:styleId="SubtleReference">
    <w:name w:val="Subtle Reference"/>
    <w:basedOn w:val="DefaultParagraphFont"/>
    <w:uiPriority w:val="31"/>
    <w:qFormat/>
    <w:rsid w:val="00655880"/>
    <w:rPr>
      <w:smallCaps/>
      <w:color w:val="A50E82" w:themeColor="accent2"/>
      <w:u w:val="single"/>
    </w:rPr>
  </w:style>
  <w:style w:type="character" w:styleId="IntenseReference">
    <w:name w:val="Intense Reference"/>
    <w:basedOn w:val="DefaultParagraphFont"/>
    <w:uiPriority w:val="32"/>
    <w:qFormat/>
    <w:rsid w:val="00655880"/>
    <w:rPr>
      <w:b/>
      <w:bCs/>
      <w:smallCaps/>
      <w:color w:val="A50E82" w:themeColor="accent2"/>
      <w:spacing w:val="5"/>
      <w:u w:val="single"/>
    </w:rPr>
  </w:style>
  <w:style w:type="character" w:styleId="BookTitle">
    <w:name w:val="Book Title"/>
    <w:basedOn w:val="DefaultParagraphFont"/>
    <w:uiPriority w:val="33"/>
    <w:qFormat/>
    <w:rsid w:val="00655880"/>
    <w:rPr>
      <w:b/>
      <w:bCs/>
      <w:smallCaps/>
      <w:spacing w:val="5"/>
    </w:rPr>
  </w:style>
  <w:style w:type="paragraph" w:styleId="TOCHeading">
    <w:name w:val="TOC Heading"/>
    <w:basedOn w:val="Heading1"/>
    <w:next w:val="Normal"/>
    <w:uiPriority w:val="39"/>
    <w:semiHidden/>
    <w:unhideWhenUsed/>
    <w:qFormat/>
    <w:rsid w:val="00655880"/>
    <w:pPr>
      <w:outlineLvl w:val="9"/>
    </w:pPr>
  </w:style>
  <w:style w:type="character" w:styleId="UnresolvedMention">
    <w:name w:val="Unresolved Mention"/>
    <w:basedOn w:val="DefaultParagraphFont"/>
    <w:uiPriority w:val="99"/>
    <w:semiHidden/>
    <w:unhideWhenUsed/>
    <w:rsid w:val="00692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ekingalpha.com/article/4174551-problems-commodity-fun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berg.com/news/articles/2018-11-19/hedge-fund-s-accounts-liquidated-amid-energy-market-volat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bc.com/2019/03/19/passive-investing-now-controls-nearly-half-the-us-stock-market.html"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8714A-914B-4A04-A1D8-CAF1D613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Mckenzie</dc:creator>
  <cp:keywords/>
  <dc:description/>
  <cp:lastModifiedBy>Brandon Moretz</cp:lastModifiedBy>
  <cp:revision>138</cp:revision>
  <dcterms:created xsi:type="dcterms:W3CDTF">2019-10-07T19:17:00Z</dcterms:created>
  <dcterms:modified xsi:type="dcterms:W3CDTF">2019-10-15T19:07:00Z</dcterms:modified>
</cp:coreProperties>
</file>