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491" w:rsidRPr="00906491" w:rsidRDefault="00906491" w:rsidP="00906491">
      <w:pPr>
        <w:shd w:val="clear" w:color="auto" w:fill="FFFFFF"/>
        <w:spacing w:beforeAutospacing="1" w:after="0" w:afterAutospacing="1" w:line="240" w:lineRule="auto"/>
        <w:jc w:val="center"/>
        <w:textAlignment w:val="baseline"/>
        <w:outlineLvl w:val="3"/>
        <w:rPr>
          <w:rFonts w:ascii="Raleway" w:eastAsia="Times New Roman" w:hAnsi="Raleway" w:cs="Times New Roman"/>
          <w:b/>
          <w:bCs/>
          <w:color w:val="264D81"/>
          <w:sz w:val="24"/>
          <w:szCs w:val="24"/>
          <w:lang w:eastAsia="pt-BR"/>
        </w:rPr>
      </w:pPr>
      <w:proofErr w:type="spellStart"/>
      <w:r w:rsidRPr="00906491">
        <w:rPr>
          <w:rFonts w:ascii="inherit" w:eastAsia="Times New Roman" w:hAnsi="inherit" w:cs="Times New Roman"/>
          <w:b/>
          <w:bCs/>
          <w:i/>
          <w:iCs/>
          <w:color w:val="264D81"/>
          <w:sz w:val="26"/>
          <w:szCs w:val="26"/>
          <w:bdr w:val="none" w:sz="0" w:space="0" w:color="auto" w:frame="1"/>
          <w:lang w:eastAsia="pt-BR"/>
        </w:rPr>
        <w:t>Blockchain</w:t>
      </w:r>
      <w:proofErr w:type="spellEnd"/>
      <w:r w:rsidRPr="00906491">
        <w:rPr>
          <w:rFonts w:ascii="inherit" w:eastAsia="Times New Roman" w:hAnsi="inherit" w:cs="Times New Roman"/>
          <w:b/>
          <w:bCs/>
          <w:i/>
          <w:iCs/>
          <w:color w:val="264D81"/>
          <w:sz w:val="26"/>
          <w:szCs w:val="26"/>
          <w:bdr w:val="none" w:sz="0" w:space="0" w:color="auto" w:frame="1"/>
          <w:lang w:eastAsia="pt-BR"/>
        </w:rPr>
        <w:t xml:space="preserve">, </w:t>
      </w:r>
      <w:proofErr w:type="spellStart"/>
      <w:r w:rsidRPr="00906491">
        <w:rPr>
          <w:rFonts w:ascii="inherit" w:eastAsia="Times New Roman" w:hAnsi="inherit" w:cs="Times New Roman"/>
          <w:b/>
          <w:bCs/>
          <w:i/>
          <w:iCs/>
          <w:color w:val="264D81"/>
          <w:sz w:val="26"/>
          <w:szCs w:val="26"/>
          <w:bdr w:val="none" w:sz="0" w:space="0" w:color="auto" w:frame="1"/>
          <w:lang w:eastAsia="pt-BR"/>
        </w:rPr>
        <w:t>empowered</w:t>
      </w:r>
      <w:proofErr w:type="spellEnd"/>
      <w:r w:rsidRPr="00906491">
        <w:rPr>
          <w:rFonts w:ascii="inherit" w:eastAsia="Times New Roman" w:hAnsi="inherit" w:cs="Times New Roman"/>
          <w:b/>
          <w:bCs/>
          <w:i/>
          <w:iCs/>
          <w:color w:val="264D81"/>
          <w:sz w:val="26"/>
          <w:szCs w:val="26"/>
          <w:bdr w:val="none" w:sz="0" w:space="0" w:color="auto" w:frame="1"/>
          <w:lang w:eastAsia="pt-BR"/>
        </w:rPr>
        <w:t xml:space="preserve"> </w:t>
      </w:r>
      <w:proofErr w:type="spellStart"/>
      <w:r w:rsidRPr="00906491">
        <w:rPr>
          <w:rFonts w:ascii="inherit" w:eastAsia="Times New Roman" w:hAnsi="inherit" w:cs="Times New Roman"/>
          <w:b/>
          <w:bCs/>
          <w:i/>
          <w:iCs/>
          <w:color w:val="264D81"/>
          <w:sz w:val="26"/>
          <w:szCs w:val="26"/>
          <w:bdr w:val="none" w:sz="0" w:space="0" w:color="auto" w:frame="1"/>
          <w:lang w:eastAsia="pt-BR"/>
        </w:rPr>
        <w:t>edge</w:t>
      </w:r>
      <w:proofErr w:type="spellEnd"/>
      <w:r w:rsidRPr="00906491">
        <w:rPr>
          <w:rFonts w:ascii="inherit" w:eastAsia="Times New Roman" w:hAnsi="inherit" w:cs="Times New Roman"/>
          <w:b/>
          <w:bCs/>
          <w:i/>
          <w:iCs/>
          <w:color w:val="264D81"/>
          <w:sz w:val="26"/>
          <w:szCs w:val="26"/>
          <w:bdr w:val="none" w:sz="0" w:space="0" w:color="auto" w:frame="1"/>
          <w:lang w:eastAsia="pt-BR"/>
        </w:rPr>
        <w:t xml:space="preserve">, espaços inteligentes, privacidade e ética. Computação quântica, desenvolvimento orientado por IA, experiências imersivas, análise aumentada, coisas autônomas e digital </w:t>
      </w:r>
      <w:proofErr w:type="spellStart"/>
      <w:r w:rsidRPr="00906491">
        <w:rPr>
          <w:rFonts w:ascii="inherit" w:eastAsia="Times New Roman" w:hAnsi="inherit" w:cs="Times New Roman"/>
          <w:b/>
          <w:bCs/>
          <w:i/>
          <w:iCs/>
          <w:color w:val="264D81"/>
          <w:sz w:val="26"/>
          <w:szCs w:val="26"/>
          <w:bdr w:val="none" w:sz="0" w:space="0" w:color="auto" w:frame="1"/>
          <w:lang w:eastAsia="pt-BR"/>
        </w:rPr>
        <w:t>twins</w:t>
      </w:r>
      <w:proofErr w:type="spellEnd"/>
      <w:r w:rsidRPr="00906491">
        <w:rPr>
          <w:rFonts w:ascii="inherit" w:eastAsia="Times New Roman" w:hAnsi="inherit" w:cs="Times New Roman"/>
          <w:b/>
          <w:bCs/>
          <w:i/>
          <w:iCs/>
          <w:color w:val="264D81"/>
          <w:sz w:val="26"/>
          <w:szCs w:val="26"/>
          <w:bdr w:val="none" w:sz="0" w:space="0" w:color="auto" w:frame="1"/>
          <w:lang w:eastAsia="pt-BR"/>
        </w:rPr>
        <w:t xml:space="preserve">. Essas são as 10 maiores tendências em tecnologia segundo a consultoria </w:t>
      </w:r>
      <w:proofErr w:type="spellStart"/>
      <w:r w:rsidRPr="00906491">
        <w:rPr>
          <w:rFonts w:ascii="inherit" w:eastAsia="Times New Roman" w:hAnsi="inherit" w:cs="Times New Roman"/>
          <w:b/>
          <w:bCs/>
          <w:i/>
          <w:iCs/>
          <w:color w:val="264D81"/>
          <w:sz w:val="26"/>
          <w:szCs w:val="26"/>
          <w:bdr w:val="none" w:sz="0" w:space="0" w:color="auto" w:frame="1"/>
          <w:lang w:eastAsia="pt-BR"/>
        </w:rPr>
        <w:t>Gartner</w:t>
      </w:r>
      <w:proofErr w:type="spellEnd"/>
      <w:r w:rsidRPr="00906491">
        <w:rPr>
          <w:rFonts w:ascii="inherit" w:eastAsia="Times New Roman" w:hAnsi="inherit" w:cs="Times New Roman"/>
          <w:b/>
          <w:bCs/>
          <w:i/>
          <w:iCs/>
          <w:color w:val="264D81"/>
          <w:sz w:val="26"/>
          <w:szCs w:val="26"/>
          <w:bdr w:val="none" w:sz="0" w:space="0" w:color="auto" w:frame="1"/>
          <w:lang w:eastAsia="pt-BR"/>
        </w:rPr>
        <w:t>.</w:t>
      </w:r>
    </w:p>
    <w:p w:rsidR="000101D0" w:rsidRDefault="000101D0" w:rsidP="000101D0">
      <w:pPr>
        <w:pStyle w:val="Ttulo4"/>
        <w:shd w:val="clear" w:color="auto" w:fill="FFFFFF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#01Trend – COISAS AUTÔNOMAS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Coisas, ou objetos, autônomos (podem ser desde carros, robôs, drones) utilizam a IA (inteligência artificial) para realizar tarefas tradicionalmente feitas por seres humanos. A sofisticação da inteligência varia, mas todas as coisas autônomas usam a IA para interagir mais naturalmente com seus ambientes.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As coisas autônomas vêm em muitos tipos e operam em ambientes (mar, terra, ar e digital) variados com graus diferentes de capacidade, coordenação e inteligência. As coisas autônomas podem existir em cinco grandes grupos. Que são:</w:t>
      </w:r>
    </w:p>
    <w:p w:rsidR="000101D0" w:rsidRDefault="000101D0" w:rsidP="000101D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hAnsi="inherit" w:cs="Arial"/>
          <w:color w:val="3D3D3D"/>
          <w:sz w:val="27"/>
          <w:szCs w:val="27"/>
        </w:rPr>
      </w:pPr>
      <w:r>
        <w:rPr>
          <w:rFonts w:ascii="inherit" w:hAnsi="inherit" w:cs="Arial"/>
          <w:color w:val="3D3D3D"/>
          <w:sz w:val="27"/>
          <w:szCs w:val="27"/>
          <w:bdr w:val="none" w:sz="0" w:space="0" w:color="auto" w:frame="1"/>
        </w:rPr>
        <w:t>Robótica;</w:t>
      </w:r>
    </w:p>
    <w:p w:rsidR="000101D0" w:rsidRDefault="000101D0" w:rsidP="000101D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hAnsi="inherit" w:cs="Arial"/>
          <w:color w:val="3D3D3D"/>
          <w:sz w:val="27"/>
          <w:szCs w:val="27"/>
        </w:rPr>
      </w:pPr>
      <w:r>
        <w:rPr>
          <w:rFonts w:ascii="inherit" w:hAnsi="inherit" w:cs="Arial"/>
          <w:color w:val="3D3D3D"/>
          <w:sz w:val="27"/>
          <w:szCs w:val="27"/>
          <w:bdr w:val="none" w:sz="0" w:space="0" w:color="auto" w:frame="1"/>
        </w:rPr>
        <w:t>Veículos;</w:t>
      </w:r>
    </w:p>
    <w:p w:rsidR="000101D0" w:rsidRDefault="000101D0" w:rsidP="000101D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hAnsi="inherit" w:cs="Arial"/>
          <w:color w:val="3D3D3D"/>
          <w:sz w:val="27"/>
          <w:szCs w:val="27"/>
        </w:rPr>
      </w:pPr>
      <w:r>
        <w:rPr>
          <w:rFonts w:ascii="inherit" w:hAnsi="inherit" w:cs="Arial"/>
          <w:color w:val="3D3D3D"/>
          <w:sz w:val="27"/>
          <w:szCs w:val="27"/>
          <w:bdr w:val="none" w:sz="0" w:space="0" w:color="auto" w:frame="1"/>
        </w:rPr>
        <w:t>Zangões;</w:t>
      </w:r>
    </w:p>
    <w:p w:rsidR="000101D0" w:rsidRDefault="000101D0" w:rsidP="000101D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hAnsi="inherit" w:cs="Arial"/>
          <w:color w:val="3D3D3D"/>
          <w:sz w:val="27"/>
          <w:szCs w:val="27"/>
        </w:rPr>
      </w:pPr>
      <w:r>
        <w:rPr>
          <w:rFonts w:ascii="inherit" w:hAnsi="inherit" w:cs="Arial"/>
          <w:color w:val="3D3D3D"/>
          <w:sz w:val="27"/>
          <w:szCs w:val="27"/>
          <w:bdr w:val="none" w:sz="0" w:space="0" w:color="auto" w:frame="1"/>
        </w:rPr>
        <w:t>Eletrodomésticos;</w:t>
      </w:r>
    </w:p>
    <w:p w:rsidR="000101D0" w:rsidRDefault="000101D0" w:rsidP="000101D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inherit" w:hAnsi="inherit" w:cs="Arial"/>
          <w:color w:val="3D3D3D"/>
          <w:sz w:val="27"/>
          <w:szCs w:val="27"/>
        </w:rPr>
      </w:pPr>
      <w:r>
        <w:rPr>
          <w:rFonts w:ascii="inherit" w:hAnsi="inherit" w:cs="Arial"/>
          <w:color w:val="3D3D3D"/>
          <w:sz w:val="27"/>
          <w:szCs w:val="27"/>
          <w:bdr w:val="none" w:sz="0" w:space="0" w:color="auto" w:frame="1"/>
        </w:rPr>
        <w:t>Agentes.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David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Cearley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, durante o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2018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Symposium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em Orlando, Flórida exemplificou da seguinte forma: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Roboto" w:hAnsi="Roboto"/>
          <w:color w:val="444444"/>
          <w:spacing w:val="15"/>
        </w:rPr>
      </w:pPr>
      <w:r>
        <w:rPr>
          <w:rStyle w:val="Forte"/>
          <w:rFonts w:ascii="inherit" w:hAnsi="inherit"/>
          <w:i/>
          <w:iCs/>
          <w:color w:val="444444"/>
          <w:spacing w:val="15"/>
          <w:bdr w:val="none" w:sz="0" w:space="0" w:color="auto" w:frame="1"/>
        </w:rPr>
        <w:t xml:space="preserve">“Por exemplo, eles podem abranger um drone operado no ar com assistência humana a um robô agrícola operando de forma completamente autônoma em um campo. Isso cria um quadro amplo de possíveis aplicativos e praticamente todos os aplicativos, serviços e objetos de </w:t>
      </w:r>
      <w:proofErr w:type="spellStart"/>
      <w:r>
        <w:rPr>
          <w:rStyle w:val="Forte"/>
          <w:rFonts w:ascii="inherit" w:hAnsi="inherit"/>
          <w:i/>
          <w:iCs/>
          <w:color w:val="444444"/>
          <w:spacing w:val="15"/>
          <w:bdr w:val="none" w:sz="0" w:space="0" w:color="auto" w:frame="1"/>
        </w:rPr>
        <w:t>IoT</w:t>
      </w:r>
      <w:proofErr w:type="spellEnd"/>
      <w:r>
        <w:rPr>
          <w:rStyle w:val="Forte"/>
          <w:rFonts w:ascii="inherit" w:hAnsi="inherit"/>
          <w:i/>
          <w:iCs/>
          <w:color w:val="444444"/>
          <w:spacing w:val="15"/>
          <w:bdr w:val="none" w:sz="0" w:space="0" w:color="auto" w:frame="1"/>
        </w:rPr>
        <w:t xml:space="preserve"> incorporarão alguma forma de IA para automatizar ou aumentar processos, ou ações humanas. Coisas autônomas e colaborativas, como enxames de drones, irão, cada vez mais, direcionar o futuro dos sistemas de IA.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Roboto" w:hAnsi="Roboto"/>
          <w:color w:val="444444"/>
          <w:spacing w:val="15"/>
        </w:rPr>
      </w:pPr>
      <w:r>
        <w:rPr>
          <w:rStyle w:val="Forte"/>
          <w:rFonts w:ascii="inherit" w:hAnsi="inherit"/>
          <w:i/>
          <w:iCs/>
          <w:color w:val="444444"/>
          <w:spacing w:val="15"/>
          <w:bdr w:val="none" w:sz="0" w:space="0" w:color="auto" w:frame="1"/>
        </w:rPr>
        <w:t>Explore as possibilidades de recursos autônomos orientados por IA em qualquer objeto físico em sua organização ou ambiente de cliente, mas lembre-se de que esses dispositivos são mais bem usados ​​para propósitos estritamente definidos. Eles não têm a mesma capacidade que um cérebro humano para tomada de decisões, inteligência ou aprendizagem de propósito geral.”</w:t>
      </w:r>
    </w:p>
    <w:p w:rsidR="000101D0" w:rsidRDefault="000101D0" w:rsidP="000101D0">
      <w:pPr>
        <w:pStyle w:val="Ttulo4"/>
        <w:shd w:val="clear" w:color="auto" w:fill="FFFFFF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#02Trend – ANÁLISE AUMENTADA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Baseado no 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machine</w:t>
      </w:r>
      <w:proofErr w:type="spellEnd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learning</w:t>
      </w:r>
      <w:proofErr w:type="spellEnd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 </w:t>
      </w:r>
      <w:r>
        <w:rPr>
          <w:rFonts w:ascii="inherit" w:hAnsi="inherit"/>
          <w:color w:val="444444"/>
          <w:spacing w:val="15"/>
          <w:bdr w:val="none" w:sz="0" w:space="0" w:color="auto" w:frame="1"/>
        </w:rPr>
        <w:t>a análise aumentada muda a maneira como o conteúdo analítico é produzido, consumido e compartilhado.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lastRenderedPageBreak/>
        <w:t>Os cientistas de dados agora têm quantidades crescentes de dados para preparar, analisar e agrupar – e para tirar conclusões. Os recursos analíticos aumentados avançarão rapidamente para a adoção principal, como um recurso importante de preparação de dados, gerenciamento de dados, análise, gerenciamento de processos de negócios, mineração de processos e plataformas de ciência de dados.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Style w:val="nfase"/>
          <w:rFonts w:ascii="inherit" w:hAnsi="inherit"/>
          <w:color w:val="444444"/>
          <w:spacing w:val="15"/>
          <w:bdr w:val="none" w:sz="0" w:space="0" w:color="auto" w:frame="1"/>
        </w:rPr>
        <w:t>“Dada a quantidade de dados, explorar todas as possibilidades (humanamente) se torna impossível. Isso significa que as empresas podem perder percepções importantes de hipóteses que os cientistas de dados não têm a capacidade de explorar.”</w:t>
      </w: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, afirma David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Cearley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As plataformas de ciência de dados e 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machine</w:t>
      </w:r>
      <w:proofErr w:type="spellEnd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learning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 transformaram a forma como as empresas geram insights de análise. Segundo a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:</w:t>
      </w:r>
    </w:p>
    <w:p w:rsidR="000101D0" w:rsidRDefault="000101D0" w:rsidP="000101D0">
      <w:pPr>
        <w:pStyle w:val="Ttulo4"/>
        <w:shd w:val="clear" w:color="auto" w:fill="FFFFFF"/>
        <w:jc w:val="center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“Até 2020, mais de 40% das tarefas de ciência de dados serão automatizadas, resultando em aumento de produtividade e uso mais amplo por cientistas de dados.”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As análises aumentadas identificam padrões ocultos ao remover o viés pessoal. Embora as empresas corram o risco de inserir intencionalmente preconceitos nos algoritmos, as análises aumentadas e os insights automatizados acabarão sendo incorporados aos aplicativos corporativos.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Até 2020 o número de 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Citizen</w:t>
      </w:r>
      <w:proofErr w:type="spellEnd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 xml:space="preserve"> Data 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Scientists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 tende a aumentar cinco vezes mais rápido que o número de cientistas de dados profissionais.</w:t>
      </w:r>
    </w:p>
    <w:p w:rsidR="000101D0" w:rsidRDefault="000101D0" w:rsidP="000101D0">
      <w:pPr>
        <w:pStyle w:val="Ttulo4"/>
        <w:shd w:val="clear" w:color="auto" w:fill="FFFFFF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#03Trend – DESENVOLVIMENTO ORIENTADO POR IA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O mercado está mudando rapidamente de uma abordagem em que os cientistas de dados profissionais devem se associar aos desenvolvedores de aplicativos para criar a maioria das soluções aprimoradas por IA para um modelo em que o desenvolvedor profissional possa operar sozinho usando modelos predefinidos como serviço. Isso fornece ao desenvolvedor um ecossistema de algoritmos e modelos de AI, bem como ferramentas de desenvolvimento adaptadas para integrar recursos e modelos de IA a uma solução.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O desenvolvimento orientado por IA analisa ferramentas, tecnologias e melhores práticas para incorporar a inteligência artificial em aplicativos e usar a inteligência artificial para criar ferramentas baseadas em IA para o processo de desenvolvimento. Isso permite que mais desenvolvedores utilizem os serviços e aumentem a eficiência.</w:t>
      </w:r>
    </w:p>
    <w:p w:rsidR="000101D0" w:rsidRDefault="000101D0" w:rsidP="000101D0">
      <w:pPr>
        <w:pStyle w:val="Ttulo4"/>
        <w:shd w:val="clear" w:color="auto" w:fill="FFFFFF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#04Trend – DIGITAL TWINS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O </w:t>
      </w:r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 xml:space="preserve">digital 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twins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, </w:t>
      </w:r>
      <w:proofErr w:type="gramStart"/>
      <w:r>
        <w:rPr>
          <w:rFonts w:ascii="inherit" w:hAnsi="inherit"/>
          <w:color w:val="444444"/>
          <w:spacing w:val="15"/>
          <w:bdr w:val="none" w:sz="0" w:space="0" w:color="auto" w:frame="1"/>
        </w:rPr>
        <w:t>ou  gêmeo</w:t>
      </w:r>
      <w:proofErr w:type="gram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digital, é uma representação digital que espelha um objeto, processo ou sistema da vida real que vai muito além da </w:t>
      </w:r>
      <w:r>
        <w:rPr>
          <w:rFonts w:ascii="inherit" w:hAnsi="inherit"/>
          <w:color w:val="444444"/>
          <w:spacing w:val="15"/>
          <w:bdr w:val="none" w:sz="0" w:space="0" w:color="auto" w:frame="1"/>
        </w:rPr>
        <w:lastRenderedPageBreak/>
        <w:t>internet das coisas. São modelos de software dinâmico que se baseia em dados operacionais e outros tipos de dados que permitem compreender como uma organização opera seu modelo de negócios, implanta novos recursos e se adapta às mudanças.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 ideia de um gêmeo digital não é nova. Ela remete a representações de design assistidas por computador de coisas ou perfis online de clientes.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 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estima que até o ano de 2020 haverá mais de 20 bilhões de sensores conectados e terminais </w:t>
      </w:r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 xml:space="preserve">digital 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twins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 existirão para potencialmente bilhões de coisas. As organizações irão implementar gêmeos digitais e evoluirão ao longo do tempo, melhorando sua capacidade de coletar e visualizar os dados corretos, aplicar as análises e regras e responder efetivamente aos objetivos de negócios.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E, que em 2021 metade das grandes empresas e </w:t>
      </w:r>
      <w:proofErr w:type="gramStart"/>
      <w:r>
        <w:rPr>
          <w:rFonts w:ascii="inherit" w:hAnsi="inherit"/>
          <w:color w:val="444444"/>
          <w:spacing w:val="15"/>
          <w:bdr w:val="none" w:sz="0" w:space="0" w:color="auto" w:frame="1"/>
        </w:rPr>
        <w:t>industrias</w:t>
      </w:r>
      <w:proofErr w:type="gram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usarão gêmeos digitais, gerando 10% de melhoria e eficácia.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“</w:t>
      </w:r>
      <w:r>
        <w:rPr>
          <w:rFonts w:ascii="Roboto" w:hAnsi="Roboto"/>
          <w:b/>
          <w:bCs/>
          <w:i/>
          <w:iCs/>
          <w:color w:val="444444"/>
          <w:spacing w:val="15"/>
        </w:rPr>
        <w:t>Gêmeos digitais vão ser um grande negócio”</w:t>
      </w: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, afirma Brian Burke, chefe de pesquisa da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.</w:t>
      </w:r>
    </w:p>
    <w:p w:rsidR="000101D0" w:rsidRDefault="000101D0" w:rsidP="000101D0">
      <w:pPr>
        <w:pStyle w:val="Ttulo4"/>
        <w:shd w:val="clear" w:color="auto" w:fill="FFFFFF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#05Trend – EMPOWERED EDGE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 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define 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edge</w:t>
      </w:r>
      <w:proofErr w:type="spellEnd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computing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 como uma solução que facilita o processamento de informações e dados próximo da fonte </w:t>
      </w:r>
      <w:proofErr w:type="gramStart"/>
      <w:r>
        <w:rPr>
          <w:rFonts w:ascii="inherit" w:hAnsi="inherit"/>
          <w:color w:val="444444"/>
          <w:spacing w:val="15"/>
          <w:bdr w:val="none" w:sz="0" w:space="0" w:color="auto" w:frame="1"/>
        </w:rPr>
        <w:t>de  origem</w:t>
      </w:r>
      <w:proofErr w:type="gramEnd"/>
      <w:r>
        <w:rPr>
          <w:rFonts w:ascii="inherit" w:hAnsi="inherit"/>
          <w:color w:val="444444"/>
          <w:spacing w:val="15"/>
          <w:bdr w:val="none" w:sz="0" w:space="0" w:color="auto" w:frame="1"/>
        </w:rPr>
        <w:t>. É uma topologia de computação na qual o processamento de informações e a coleta e entrega de conteúdo são colocados mais próximos da extremidade da rede, reduzindo o tráfego e a latência.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Atualmente, grande parte do foco dessa tecnologia é resultado da necessidade de os sistemas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IoT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 e a necessidade de manter o processamento próximo ao final, e não em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um</w:t>
      </w:r>
      <w:hyperlink r:id="rId5" w:tgtFrame="_blank" w:history="1">
        <w:r>
          <w:rPr>
            <w:rStyle w:val="Hyperlink"/>
            <w:rFonts w:ascii="inherit" w:hAnsi="inherit"/>
            <w:b/>
            <w:bCs/>
            <w:color w:val="264D81"/>
            <w:spacing w:val="15"/>
            <w:bdr w:val="none" w:sz="0" w:space="0" w:color="auto" w:frame="1"/>
          </w:rPr>
          <w:t>servidor</w:t>
        </w:r>
        <w:proofErr w:type="spellEnd"/>
        <w:r>
          <w:rPr>
            <w:rStyle w:val="Hyperlink"/>
            <w:rFonts w:ascii="inherit" w:hAnsi="inherit"/>
            <w:b/>
            <w:bCs/>
            <w:color w:val="264D81"/>
            <w:spacing w:val="15"/>
            <w:bdr w:val="none" w:sz="0" w:space="0" w:color="auto" w:frame="1"/>
          </w:rPr>
          <w:t xml:space="preserve"> de nuvem centralizado</w:t>
        </w:r>
      </w:hyperlink>
      <w:r>
        <w:rPr>
          <w:rFonts w:ascii="inherit" w:hAnsi="inherit"/>
          <w:color w:val="444444"/>
          <w:spacing w:val="15"/>
          <w:bdr w:val="none" w:sz="0" w:space="0" w:color="auto" w:frame="1"/>
        </w:rPr>
        <w:t>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De acordo com o vice-presidente da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, David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Cearley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:</w:t>
      </w:r>
    </w:p>
    <w:p w:rsidR="000101D0" w:rsidRDefault="000101D0" w:rsidP="000101D0">
      <w:pPr>
        <w:pStyle w:val="Ttulo4"/>
        <w:shd w:val="clear" w:color="auto" w:fill="FFFFFF"/>
        <w:jc w:val="center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i/>
          <w:iCs/>
          <w:color w:val="264D81"/>
        </w:rPr>
        <w:t>“A tecnologia e o pensamento vão se transformar em um ponto em que a experiência conectará pessoas com centenas de dispositivos de ponta.”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Até 2028, a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espera um aumento constante na incorporação de recursos de sensores, armazenamento, processamento, computação, IA e recursos avançados em dispositivos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de</w:t>
      </w:r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edge</w:t>
      </w:r>
      <w:proofErr w:type="spellEnd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computing</w:t>
      </w:r>
      <w:proofErr w:type="spellEnd"/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Em geral, a inteligência se moverá em direção a uma variedade de dispositivos terminais, de dispositivos industriais a telas, smartphones e geradores de energia de automóveis.</w:t>
      </w:r>
    </w:p>
    <w:p w:rsidR="000101D0" w:rsidRDefault="000101D0" w:rsidP="000101D0">
      <w:pPr>
        <w:pStyle w:val="Ttulo4"/>
        <w:shd w:val="clear" w:color="auto" w:fill="FFFFFF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#06Trend – TECNOLOGIAS IMERSIVAS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lastRenderedPageBreak/>
        <w:t xml:space="preserve">Até 2028, a experiência do usuário com tecnologias imersivas </w:t>
      </w:r>
      <w:proofErr w:type="gramStart"/>
      <w:r>
        <w:rPr>
          <w:rFonts w:ascii="inherit" w:hAnsi="inherit"/>
          <w:color w:val="444444"/>
          <w:spacing w:val="15"/>
          <w:bdr w:val="none" w:sz="0" w:space="0" w:color="auto" w:frame="1"/>
        </w:rPr>
        <w:t>–  realidade</w:t>
      </w:r>
      <w:proofErr w:type="gram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virtual (VR), a realidade aumentada (AR) e a realidade mista (MR) – passará por uma mudança significativa na forma como se percebe o mundo digital e como interagimos com ele.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De acordo com a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até o ano de 2022, 70% das empresas </w:t>
      </w:r>
      <w:proofErr w:type="gramStart"/>
      <w:r>
        <w:rPr>
          <w:rFonts w:ascii="inherit" w:hAnsi="inherit"/>
          <w:color w:val="444444"/>
          <w:spacing w:val="15"/>
          <w:bdr w:val="none" w:sz="0" w:space="0" w:color="auto" w:frame="1"/>
        </w:rPr>
        <w:t>estarão experimentando</w:t>
      </w:r>
      <w:proofErr w:type="gram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tecnologias imersivas para consumidores e empresas, e 25% terão implantado para produção.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O futuro das plataformas de conversação, que vão desde assistentes pessoais virtuais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a</w:t>
      </w:r>
      <w:hyperlink r:id="rId6" w:tgtFrame="_blank" w:history="1">
        <w:r>
          <w:rPr>
            <w:rStyle w:val="Hyperlink"/>
            <w:rFonts w:ascii="inherit" w:hAnsi="inherit"/>
            <w:b/>
            <w:bCs/>
            <w:color w:val="264D81"/>
            <w:spacing w:val="15"/>
            <w:bdr w:val="none" w:sz="0" w:space="0" w:color="auto" w:frame="1"/>
          </w:rPr>
          <w:t>chatbots</w:t>
        </w:r>
        <w:proofErr w:type="spellEnd"/>
      </w:hyperlink>
      <w:r>
        <w:rPr>
          <w:rFonts w:ascii="inherit" w:hAnsi="inherit"/>
          <w:color w:val="444444"/>
          <w:spacing w:val="15"/>
          <w:bdr w:val="none" w:sz="0" w:space="0" w:color="auto" w:frame="1"/>
        </w:rPr>
        <w:t>, incorporará canais sensoriais expandidos que permitirão à plataforma detectar emoções com base em expressões faciais e se tornarão mais conversacionais nas interações.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Eventualmente, a tecnologia e o pensamento mudarão para um ponto em que a experiência conectará pessoas com centenas de dispositivos de ponta, desde computadores a carros.</w:t>
      </w:r>
    </w:p>
    <w:p w:rsidR="000101D0" w:rsidRDefault="000101D0" w:rsidP="000101D0">
      <w:pPr>
        <w:pStyle w:val="Ttulo4"/>
        <w:shd w:val="clear" w:color="auto" w:fill="FFFFFF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#07Trend – BLOCKCHAIN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 tecnologia de </w:t>
      </w:r>
      <w:proofErr w:type="spellStart"/>
      <w:r>
        <w:rPr>
          <w:rStyle w:val="nfase"/>
          <w:rFonts w:ascii="inherit" w:hAnsi="inherit"/>
          <w:color w:val="444444"/>
          <w:spacing w:val="15"/>
          <w:bdr w:val="none" w:sz="0" w:space="0" w:color="auto" w:frame="1"/>
        </w:rPr>
        <w:t>blockchain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 trará muito mais confiança e transparência para os clientes e para as empresas. Além disso, vai reduzir conflitos entre os ecossistemas de negócios, diminuindo custos </w:t>
      </w:r>
      <w:proofErr w:type="gramStart"/>
      <w:r>
        <w:rPr>
          <w:rFonts w:ascii="inherit" w:hAnsi="inherit"/>
          <w:color w:val="444444"/>
          <w:spacing w:val="15"/>
          <w:bdr w:val="none" w:sz="0" w:space="0" w:color="auto" w:frame="1"/>
        </w:rPr>
        <w:t>e também</w:t>
      </w:r>
      <w:proofErr w:type="gram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o tempo gasto nas transações.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Soluções que utilizam </w:t>
      </w:r>
      <w:proofErr w:type="spellStart"/>
      <w:r>
        <w:rPr>
          <w:rStyle w:val="nfase"/>
          <w:rFonts w:ascii="inherit" w:hAnsi="inherit"/>
          <w:color w:val="444444"/>
          <w:spacing w:val="15"/>
          <w:bdr w:val="none" w:sz="0" w:space="0" w:color="auto" w:frame="1"/>
        </w:rPr>
        <w:t>blockchain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 têm a capacidade de aumentar a eficiência nas operações das organizações, automatizar processos e digitalizar registros. No futuro, as empresas que adotarem essa tecnologia precisarão estar preparadas para investirem em soluções mais completas e ainda mais disruptivas.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Para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Cearley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em 2030</w:t>
      </w:r>
      <w:r>
        <w:rPr>
          <w:rFonts w:ascii="inherit" w:hAnsi="inherit"/>
          <w:i/>
          <w:iCs/>
          <w:color w:val="444444"/>
          <w:spacing w:val="15"/>
          <w:bdr w:val="none" w:sz="0" w:space="0" w:color="auto" w:frame="1"/>
        </w:rPr>
        <w:t> </w:t>
      </w:r>
      <w:r>
        <w:rPr>
          <w:rFonts w:ascii="inherit" w:hAnsi="inherit"/>
          <w:color w:val="444444"/>
          <w:spacing w:val="15"/>
          <w:bdr w:val="none" w:sz="0" w:space="0" w:color="auto" w:frame="1"/>
        </w:rPr>
        <w:t>a </w:t>
      </w:r>
      <w:proofErr w:type="spellStart"/>
      <w:r>
        <w:rPr>
          <w:rStyle w:val="nfase"/>
          <w:rFonts w:ascii="inherit" w:hAnsi="inherit"/>
          <w:color w:val="444444"/>
          <w:spacing w:val="15"/>
          <w:bdr w:val="none" w:sz="0" w:space="0" w:color="auto" w:frame="1"/>
        </w:rPr>
        <w:t>blockchain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 será um mercado multimilionário e criará US$ 3,1 trilhões em valor de negócios até 2030.</w:t>
      </w:r>
    </w:p>
    <w:p w:rsidR="000101D0" w:rsidRDefault="000101D0" w:rsidP="000101D0">
      <w:pPr>
        <w:pStyle w:val="Ttulo4"/>
        <w:shd w:val="clear" w:color="auto" w:fill="FFFFFF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#08Trend – ESPAÇOS INTELIGENTES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 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define espaços inteligentes como ambientes físicos ou digitais em que os seres humanos e os sistemas com tecnologia interagem em ecossistemas cada vez mais abertos, conectados, coordenados e inteligentes. Múltiplos elementos – incluindo pessoas, processos, serviços e coisas – reúnem-se em um espaço inteligente para criar uma experiência mais imersiva, interativa e automatizada para um conjunto-alvo de pessoas e cenários do setor.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Style w:val="Forte"/>
          <w:rFonts w:ascii="inherit" w:hAnsi="inherit"/>
          <w:i/>
          <w:iCs/>
          <w:color w:val="444444"/>
          <w:spacing w:val="15"/>
          <w:bdr w:val="none" w:sz="0" w:space="0" w:color="auto" w:frame="1"/>
        </w:rPr>
        <w:t>“Essa tendência vem se aglutinando há algum tempo em torno de elementos como cidades inteligentes, locais de trabalho digitais, residências inteligentes e fábricas conectadas.</w:t>
      </w:r>
      <w:r>
        <w:rPr>
          <w:rStyle w:val="Forte"/>
          <w:rFonts w:ascii="inherit" w:hAnsi="inherit"/>
          <w:color w:val="444444"/>
          <w:spacing w:val="15"/>
          <w:bdr w:val="none" w:sz="0" w:space="0" w:color="auto" w:frame="1"/>
        </w:rPr>
        <w:t xml:space="preserve"> Acreditamos que o mercado está entrando em um período de entrega acelerada de espaços inteligentes robustos, com a tecnologia se tornando parte </w:t>
      </w:r>
      <w:r>
        <w:rPr>
          <w:rStyle w:val="Forte"/>
          <w:rFonts w:ascii="inherit" w:hAnsi="inherit"/>
          <w:color w:val="444444"/>
          <w:spacing w:val="15"/>
          <w:bdr w:val="none" w:sz="0" w:space="0" w:color="auto" w:frame="1"/>
        </w:rPr>
        <w:lastRenderedPageBreak/>
        <w:t>integral de nossas vidas diárias, seja como funcionários, clientes, consumidores, membros da comunidade ou cidadãos”</w:t>
      </w: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, afirma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Cearley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No longo prazo, os espaços inteligentes evoluirão para fornecer ambientes inteligentes nos quais várias entidades coordenam suas atividades em ecossistemas digitais e impulsionam casos de uso ou experiências de serviço específicas contextualizadas.</w:t>
      </w:r>
    </w:p>
    <w:p w:rsidR="000101D0" w:rsidRDefault="000101D0" w:rsidP="000101D0">
      <w:pPr>
        <w:pStyle w:val="Ttulo4"/>
        <w:shd w:val="clear" w:color="auto" w:fill="FFFFFF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#09Trend – ÉTICA E PRIVACIDADE DIGITAL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Os consumidores têm uma consciência crescente do valor de suas informações pessoais e estão cada vez mais preocupados com o modo como estão sendo usados por entidades públicas e privadas. As empresas que não prestam atenção correm o risco de repercussão do consumidor.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Conversas sobre privacidade devem ser fundamentadas em ética e confiança. A conversa deve passar de </w:t>
      </w:r>
      <w:r>
        <w:rPr>
          <w:rStyle w:val="nfase"/>
          <w:rFonts w:ascii="inherit" w:hAnsi="inherit"/>
          <w:color w:val="444444"/>
          <w:spacing w:val="15"/>
          <w:bdr w:val="none" w:sz="0" w:space="0" w:color="auto" w:frame="1"/>
        </w:rPr>
        <w:t>“Somos complacentes?”</w:t>
      </w:r>
      <w:r>
        <w:rPr>
          <w:rFonts w:ascii="inherit" w:hAnsi="inherit"/>
          <w:color w:val="444444"/>
          <w:spacing w:val="15"/>
          <w:bdr w:val="none" w:sz="0" w:space="0" w:color="auto" w:frame="1"/>
        </w:rPr>
        <w:t> para </w:t>
      </w:r>
      <w:r>
        <w:rPr>
          <w:rStyle w:val="nfase"/>
          <w:rFonts w:ascii="inherit" w:hAnsi="inherit"/>
          <w:color w:val="444444"/>
          <w:spacing w:val="15"/>
          <w:bdr w:val="none" w:sz="0" w:space="0" w:color="auto" w:frame="1"/>
        </w:rPr>
        <w:t>“Estamos fazendo a coisa certa?”.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As empresas devem obter e </w:t>
      </w:r>
      <w:hyperlink r:id="rId7" w:tgtFrame="_blank" w:history="1">
        <w:r>
          <w:rPr>
            <w:rStyle w:val="Hyperlink"/>
            <w:rFonts w:ascii="inherit" w:hAnsi="inherit"/>
            <w:b/>
            <w:bCs/>
            <w:color w:val="264D81"/>
            <w:spacing w:val="15"/>
            <w:bdr w:val="none" w:sz="0" w:space="0" w:color="auto" w:frame="1"/>
          </w:rPr>
          <w:t>manter a confiança com o cliente</w:t>
        </w:r>
      </w:hyperlink>
      <w:r>
        <w:rPr>
          <w:rFonts w:ascii="inherit" w:hAnsi="inherit"/>
          <w:color w:val="444444"/>
          <w:spacing w:val="15"/>
          <w:bdr w:val="none" w:sz="0" w:space="0" w:color="auto" w:frame="1"/>
        </w:rPr>
        <w:t> para obter sucesso. Também devem seguir os valores internos para garantir que os clientes as considerem confiáveis.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Style w:val="Forte"/>
          <w:rFonts w:ascii="inherit" w:hAnsi="inherit"/>
          <w:i/>
          <w:iCs/>
          <w:color w:val="444444"/>
          <w:spacing w:val="15"/>
          <w:bdr w:val="none" w:sz="0" w:space="0" w:color="auto" w:frame="1"/>
        </w:rPr>
        <w:t>“Qualquer discussão sobre privacidade deve ser fundamentada no tópico mais amplo da ética digital e na confiança de seus clientes, constituintes e funcionários.</w:t>
      </w:r>
      <w:r>
        <w:rPr>
          <w:rStyle w:val="Forte"/>
          <w:rFonts w:ascii="inherit" w:hAnsi="inherit"/>
          <w:color w:val="444444"/>
          <w:spacing w:val="15"/>
          <w:bdr w:val="none" w:sz="0" w:space="0" w:color="auto" w:frame="1"/>
        </w:rPr>
        <w:t> Embora a privacidade e a segurança sejam componentes fundamentais na construção da confiança, ela é mais do que apenas esses componentes. Confiança é a aceitação da verdade de uma declaração sem evidência ou investigação. Em última análise, a posição de uma organização sobre a privacidade deve ser impulsionada por sua posição mais ampla sobre ética e confiança. Mudar de privacidade para ética leva a conversa para além do ‘estamos em conformidade’, em direção ao ‘estamos fazendo a coisa certa”</w:t>
      </w: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, afirmou o VP da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Até 2021, as organizações que negligenciarem a proteção de privacidade pagarão 100% mais em custos de conformidade do que os concorrentes que investiram nas melhores práticas.</w:t>
      </w:r>
    </w:p>
    <w:p w:rsidR="000101D0" w:rsidRDefault="000101D0" w:rsidP="000101D0">
      <w:pPr>
        <w:pStyle w:val="Ttulo4"/>
        <w:shd w:val="clear" w:color="auto" w:fill="FFFFFF"/>
        <w:textAlignment w:val="baseline"/>
        <w:rPr>
          <w:rFonts w:ascii="Raleway" w:hAnsi="Raleway"/>
          <w:color w:val="264D81"/>
        </w:rPr>
      </w:pPr>
      <w:r>
        <w:rPr>
          <w:rFonts w:ascii="Raleway" w:hAnsi="Raleway"/>
          <w:color w:val="264D81"/>
        </w:rPr>
        <w:t>#10Trend – COMPUTAÇÃO QUÂNTICA      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A última tendência apontada pela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foi a computação quântica. Que é um tipo de computação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não-clássica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que opera no estado quântico de partículas subatômicas (por exemplo: elétrons e íons) que representam informações como elementos denotados como bits quânticos (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qubits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>).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A execução paralela e a escalabilidade exponencial dos computadores quânticos </w:t>
      </w:r>
      <w:proofErr w:type="gramStart"/>
      <w:r>
        <w:rPr>
          <w:rFonts w:ascii="inherit" w:hAnsi="inherit"/>
          <w:color w:val="444444"/>
          <w:spacing w:val="15"/>
          <w:bdr w:val="none" w:sz="0" w:space="0" w:color="auto" w:frame="1"/>
        </w:rPr>
        <w:t>significa</w:t>
      </w:r>
      <w:proofErr w:type="gram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que eles se sobressaem com problemas muito </w:t>
      </w:r>
      <w:r>
        <w:rPr>
          <w:rFonts w:ascii="inherit" w:hAnsi="inherit"/>
          <w:color w:val="444444"/>
          <w:spacing w:val="15"/>
          <w:bdr w:val="none" w:sz="0" w:space="0" w:color="auto" w:frame="1"/>
        </w:rPr>
        <w:lastRenderedPageBreak/>
        <w:t>complexos para uma abordagem tradicional ou onde os algoritmos tradicionais demorariam muito para encontrar uma solução.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Essa tecnologia é capaz de resolver problemas complexos de maneira extremamente eficiente e mais rápida que as ferramentas tradicionais.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As aplicações vão da medicina personalizada à otimização do reconhecimento de padrões. Indústrias como as organizações automotivas, financeiras, de seguros, farmacêuticas, militares e de pesquisa têm mais a ganhar com os avanços na computação quântica.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Essa tecnologia ainda está em um estado emergente. O que significa que é um bom momento para as empresas aumentarem o entendimento de possíveis aplicativos e considerarem quaisquer implicações de segurança.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>Além de um grupo seleto de empresas onde algoritmos quânticos específicos proporcionariam uma grande vantagem, a maioria das empresas poderia permanecer em fase de exploração até 2022 e começar a explorar a tecnologia mais tarde.</w:t>
      </w:r>
    </w:p>
    <w:p w:rsidR="000101D0" w:rsidRDefault="000101D0" w:rsidP="000101D0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Roboto" w:hAnsi="Roboto"/>
          <w:color w:val="444444"/>
          <w:spacing w:val="15"/>
        </w:rPr>
      </w:pPr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Segundo a </w:t>
      </w:r>
      <w:proofErr w:type="spellStart"/>
      <w:r>
        <w:rPr>
          <w:rFonts w:ascii="inherit" w:hAnsi="inherit"/>
          <w:color w:val="444444"/>
          <w:spacing w:val="15"/>
          <w:bdr w:val="none" w:sz="0" w:space="0" w:color="auto" w:frame="1"/>
        </w:rPr>
        <w:t>Gartner</w:t>
      </w:r>
      <w:proofErr w:type="spell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até 2023 20% das organizações </w:t>
      </w:r>
      <w:proofErr w:type="gramStart"/>
      <w:r>
        <w:rPr>
          <w:rFonts w:ascii="inherit" w:hAnsi="inherit"/>
          <w:color w:val="444444"/>
          <w:spacing w:val="15"/>
          <w:bdr w:val="none" w:sz="0" w:space="0" w:color="auto" w:frame="1"/>
        </w:rPr>
        <w:t>estarão orçando</w:t>
      </w:r>
      <w:proofErr w:type="gramEnd"/>
      <w:r>
        <w:rPr>
          <w:rFonts w:ascii="inherit" w:hAnsi="inherit"/>
          <w:color w:val="444444"/>
          <w:spacing w:val="15"/>
          <w:bdr w:val="none" w:sz="0" w:space="0" w:color="auto" w:frame="1"/>
        </w:rPr>
        <w:t xml:space="preserve"> projetos de computação quântica.</w:t>
      </w:r>
    </w:p>
    <w:p w:rsidR="00906491" w:rsidRDefault="00906491">
      <w:bookmarkStart w:id="0" w:name="_GoBack"/>
      <w:bookmarkEnd w:id="0"/>
    </w:p>
    <w:sectPr w:rsidR="00906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D690C"/>
    <w:multiLevelType w:val="multilevel"/>
    <w:tmpl w:val="8122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91"/>
    <w:rsid w:val="000101D0"/>
    <w:rsid w:val="0090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76D6A-F647-41D8-B18D-96A582EF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064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064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064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10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101D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10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intwayy.com/blog/vendas-b2b-por-de-tras-de-todo-business-existem-pesso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intwayy.com/blog/a-era-dos-chatbots-os-robos-conversam-com-seus-clientes/" TargetMode="External"/><Relationship Id="rId5" Type="http://schemas.openxmlformats.org/officeDocument/2006/relationships/hyperlink" Target="http://printwayy.com/blog/computacao-em-nuve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1960</Words>
  <Characters>10587</Characters>
  <Application>Microsoft Office Word</Application>
  <DocSecurity>0</DocSecurity>
  <Lines>88</Lines>
  <Paragraphs>25</Paragraphs>
  <ScaleCrop>false</ScaleCrop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Carlos-TP</dc:creator>
  <cp:keywords/>
  <dc:description/>
  <cp:lastModifiedBy>Carlos-TP</cp:lastModifiedBy>
  <cp:revision>3</cp:revision>
  <dcterms:created xsi:type="dcterms:W3CDTF">2019-03-19T18:31:00Z</dcterms:created>
  <dcterms:modified xsi:type="dcterms:W3CDTF">2019-03-19T18:35:00Z</dcterms:modified>
</cp:coreProperties>
</file>