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6E" w:rsidRDefault="0045446E" w:rsidP="0045446E">
      <w:pPr>
        <w:jc w:val="right"/>
        <w:rPr>
          <w:b/>
        </w:rPr>
      </w:pPr>
      <w:r>
        <w:rPr>
          <w:b/>
        </w:rPr>
        <w:t>Name: ___________________________________</w:t>
      </w:r>
    </w:p>
    <w:p w:rsidR="0045446E" w:rsidRPr="00A24202" w:rsidRDefault="000B7C95" w:rsidP="0045446E">
      <w:pPr>
        <w:rPr>
          <w:b/>
        </w:rPr>
      </w:pPr>
      <w:r>
        <w:rPr>
          <w:b/>
        </w:rPr>
        <w:t xml:space="preserve">Week </w:t>
      </w:r>
      <w:r w:rsidR="004A1B28">
        <w:rPr>
          <w:b/>
        </w:rPr>
        <w:t>10</w:t>
      </w:r>
      <w:r>
        <w:rPr>
          <w:b/>
        </w:rPr>
        <w:t xml:space="preserve"> Lab: </w:t>
      </w:r>
      <w:r w:rsidR="001F1E71">
        <w:rPr>
          <w:b/>
        </w:rPr>
        <w:t>CORRELATION &amp; REGRESSION</w:t>
      </w:r>
    </w:p>
    <w:p w:rsidR="00280EA5" w:rsidRDefault="001F1E71" w:rsidP="001F1E71">
      <w:r>
        <w:t xml:space="preserve">When analyzing who to start, and who to bench, fantasy football managers often consider each player’s matchup.  For example, a decision between </w:t>
      </w:r>
      <w:r w:rsidR="004A1B28">
        <w:t xml:space="preserve">Ahmad Bradshaw </w:t>
      </w:r>
      <w:r>
        <w:t xml:space="preserve">&amp; </w:t>
      </w:r>
      <w:r w:rsidR="004A1B28">
        <w:t>Zac Stacy</w:t>
      </w:r>
      <w:r>
        <w:t xml:space="preserve"> might depend on the fact that </w:t>
      </w:r>
      <w:r w:rsidR="004A1B28">
        <w:t>Bradshaw</w:t>
      </w:r>
      <w:r>
        <w:t xml:space="preserve"> will be playing against the </w:t>
      </w:r>
      <w:r w:rsidR="004A1B28">
        <w:t>Giants</w:t>
      </w:r>
      <w:r>
        <w:t xml:space="preserve">, and </w:t>
      </w:r>
      <w:r w:rsidR="004A1B28">
        <w:t>Stacy</w:t>
      </w:r>
      <w:r w:rsidR="00280EA5">
        <w:t xml:space="preserve"> is playing against the </w:t>
      </w:r>
      <w:r w:rsidR="004A1B28">
        <w:t>49ers</w:t>
      </w:r>
      <w:r w:rsidR="00280EA5">
        <w:t xml:space="preserve">.  Differences in the quality of these opponents’ defenses might be a good factor when making a decision about whether to start </w:t>
      </w:r>
      <w:r w:rsidR="004A1B28">
        <w:t>Bradshaw</w:t>
      </w:r>
      <w:r w:rsidR="00904838">
        <w:t xml:space="preserve"> or </w:t>
      </w:r>
      <w:r w:rsidR="004A1B28">
        <w:t>Stacy</w:t>
      </w:r>
      <w:r w:rsidR="00280EA5">
        <w:t>.</w:t>
      </w:r>
    </w:p>
    <w:tbl>
      <w:tblPr>
        <w:tblpPr w:leftFromText="288" w:rightFromText="187" w:vertAnchor="page" w:horzAnchor="margin" w:tblpXSpec="right" w:tblpY="5199"/>
        <w:tblOverlap w:val="never"/>
        <w:tblW w:w="2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00"/>
      </w:tblGrid>
      <w:tr w:rsidR="001E2CED" w:rsidRPr="001E0C09" w:rsidTr="001E0C09">
        <w:trPr>
          <w:trHeight w:val="86"/>
        </w:trPr>
        <w:tc>
          <w:tcPr>
            <w:tcW w:w="1008" w:type="dxa"/>
            <w:shd w:val="clear" w:color="auto" w:fill="auto"/>
            <w:noWrap/>
            <w:vAlign w:val="bottom"/>
          </w:tcPr>
          <w:p w:rsidR="001E2CED" w:rsidRPr="004A1B28" w:rsidRDefault="001E2CED" w:rsidP="004A1B28">
            <w:pPr>
              <w:spacing w:after="0" w:line="240" w:lineRule="auto"/>
              <w:contextualSpacing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4A1B28">
              <w:rPr>
                <w:rFonts w:eastAsia="Times New Roman" w:cs="Calibri"/>
                <w:color w:val="000000"/>
                <w:sz w:val="18"/>
                <w:szCs w:val="18"/>
              </w:rPr>
              <w:t>opponent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1E2CED" w:rsidRPr="004A1B28" w:rsidRDefault="004A1B28" w:rsidP="004A1B28">
            <w:pPr>
              <w:spacing w:after="0" w:line="240" w:lineRule="auto"/>
              <w:contextualSpacing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Avg</w:t>
            </w:r>
            <w:proofErr w:type="spellEnd"/>
            <w:r w:rsidR="001E0C09" w:rsidRPr="004A1B28">
              <w:rPr>
                <w:rFonts w:eastAsia="Times New Roman" w:cs="Calibri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="001E0C09" w:rsidRPr="004A1B28">
              <w:rPr>
                <w:rFonts w:eastAsia="Times New Roman" w:cs="Calibri"/>
                <w:color w:val="000000"/>
                <w:sz w:val="18"/>
                <w:szCs w:val="18"/>
              </w:rPr>
              <w:t>fantasyPoints</w:t>
            </w:r>
            <w:proofErr w:type="spellEnd"/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ARI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14.48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ATL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17.31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BAL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15.93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BUF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2.73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CAR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12.49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CHI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19.61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CIN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12.63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CLE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6.96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DAL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20.29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DEN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13.37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DET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18.35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GB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15.02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HOU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16.38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IND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24.91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JAX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9.57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KC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11.35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MIA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9.77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MIN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12.68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NE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14.40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NO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13.07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NYG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21.66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NYJ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24.28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OAK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15.61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PHI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21.16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PIT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22.34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SD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19.59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SEA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9.62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SF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14.31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STL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23.28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TB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13.94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TEN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8.42</w:t>
            </w:r>
          </w:p>
        </w:tc>
      </w:tr>
      <w:tr w:rsidR="004A1B28" w:rsidRPr="001E0C09" w:rsidTr="005C5E8E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WSH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4A1B28" w:rsidRPr="004A1B28" w:rsidRDefault="004A1B28" w:rsidP="004A1B28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4A1B28">
              <w:rPr>
                <w:sz w:val="18"/>
                <w:szCs w:val="18"/>
              </w:rPr>
              <w:t>10.71</w:t>
            </w:r>
          </w:p>
        </w:tc>
      </w:tr>
    </w:tbl>
    <w:p w:rsidR="00280EA5" w:rsidRDefault="00280EA5" w:rsidP="001F1E71">
      <w:r>
        <w:t>But there are a lot of ways that you might characterize the quality of a team’s defense.  For today’s lab, let’s find the defensive variable that’s most strongly related to a player’s future performance (in fantasy points) against that defense.</w:t>
      </w:r>
    </w:p>
    <w:p w:rsidR="00280EA5" w:rsidRDefault="00280EA5" w:rsidP="001F1E71">
      <w:r>
        <w:t xml:space="preserve">Let’s </w:t>
      </w:r>
      <w:r w:rsidR="00904838">
        <w:t>start with</w:t>
      </w:r>
      <w:r>
        <w:t xml:space="preserve"> Quarterbacks.</w:t>
      </w:r>
    </w:p>
    <w:p w:rsidR="00280EA5" w:rsidRDefault="00280EA5" w:rsidP="001F1E71">
      <w:r>
        <w:t xml:space="preserve">First, make a column that represents the </w:t>
      </w:r>
      <w:r w:rsidR="004A1B28">
        <w:t>average</w:t>
      </w:r>
      <w:r>
        <w:t xml:space="preserve"> fantasy points scored by Quarterbacks</w:t>
      </w:r>
      <w:r w:rsidR="004A1B28">
        <w:t xml:space="preserve"> against each team during weeks 7 &amp; 8</w:t>
      </w:r>
      <w:r>
        <w:t xml:space="preserve"> of the </w:t>
      </w:r>
      <w:r w:rsidR="00E91104">
        <w:t xml:space="preserve">current </w:t>
      </w:r>
      <w:r>
        <w:t>NFL season.  You can use PivotTables to do this.  Your column should look someth</w:t>
      </w:r>
      <w:r w:rsidR="001E2CED">
        <w:t>ing like the table on the right.</w:t>
      </w:r>
    </w:p>
    <w:p w:rsidR="001E2CED" w:rsidRDefault="001E2CED" w:rsidP="001F1E71">
      <w:r>
        <w:t xml:space="preserve">Now create </w:t>
      </w:r>
      <w:r w:rsidR="001E0C09">
        <w:t xml:space="preserve">new pivot tables with </w:t>
      </w:r>
      <w:r>
        <w:t>similar columns</w:t>
      </w:r>
      <w:r w:rsidR="001E0C09">
        <w:t>--</w:t>
      </w:r>
      <w:r>
        <w:t xml:space="preserve"> with variables that might be </w:t>
      </w:r>
      <w:r w:rsidRPr="001E0C09">
        <w:rPr>
          <w:i/>
        </w:rPr>
        <w:t>related</w:t>
      </w:r>
      <w:r>
        <w:t xml:space="preserve"> to QB points against.  Here’re three that you must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00"/>
        <w:gridCol w:w="1260"/>
      </w:tblGrid>
      <w:tr w:rsidR="001E2CED" w:rsidTr="001E2CED">
        <w:trPr>
          <w:trHeight w:val="85"/>
        </w:trPr>
        <w:tc>
          <w:tcPr>
            <w:tcW w:w="468" w:type="dxa"/>
          </w:tcPr>
          <w:p w:rsidR="001E2CED" w:rsidRDefault="001E2CED" w:rsidP="001E2CED">
            <w:pPr>
              <w:jc w:val="center"/>
            </w:pPr>
            <w:r>
              <w:t>#</w:t>
            </w:r>
          </w:p>
        </w:tc>
        <w:tc>
          <w:tcPr>
            <w:tcW w:w="4500" w:type="dxa"/>
          </w:tcPr>
          <w:p w:rsidR="001E2CED" w:rsidRDefault="001E2CED" w:rsidP="001E2CED">
            <w:r>
              <w:t>Variable</w:t>
            </w:r>
          </w:p>
        </w:tc>
        <w:tc>
          <w:tcPr>
            <w:tcW w:w="1260" w:type="dxa"/>
          </w:tcPr>
          <w:p w:rsidR="001E2CED" w:rsidRDefault="001E2CED" w:rsidP="001E2CED">
            <w:proofErr w:type="spellStart"/>
            <w:r>
              <w:t>r-value</w:t>
            </w:r>
            <w:proofErr w:type="spellEnd"/>
          </w:p>
        </w:tc>
      </w:tr>
      <w:tr w:rsidR="001E2CED" w:rsidTr="001E2CED">
        <w:trPr>
          <w:trHeight w:val="806"/>
        </w:trPr>
        <w:tc>
          <w:tcPr>
            <w:tcW w:w="468" w:type="dxa"/>
          </w:tcPr>
          <w:p w:rsidR="001E2CED" w:rsidRDefault="001E2CED" w:rsidP="001E2CED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:rsidR="001E2CED" w:rsidRDefault="001E2CED" w:rsidP="004A1B28">
            <w:r w:rsidRPr="001E2CED">
              <w:t xml:space="preserve">Cumulative fantasy points scored by quarterbacks </w:t>
            </w:r>
            <w:r w:rsidR="004A1B28">
              <w:t>against each team during weeks 1-6</w:t>
            </w:r>
            <w:r w:rsidRPr="001E2CED">
              <w:t xml:space="preserve"> (combined)</w:t>
            </w:r>
            <w:r w:rsidR="002D7662">
              <w:t xml:space="preserve"> of the current season</w:t>
            </w:r>
            <w:r w:rsidRPr="001E2CED">
              <w:t>.</w:t>
            </w:r>
          </w:p>
        </w:tc>
        <w:tc>
          <w:tcPr>
            <w:tcW w:w="1260" w:type="dxa"/>
          </w:tcPr>
          <w:p w:rsidR="001E2CED" w:rsidRDefault="001E2CED" w:rsidP="001E2CED"/>
        </w:tc>
      </w:tr>
      <w:tr w:rsidR="001E2CED" w:rsidTr="001E2CED">
        <w:trPr>
          <w:trHeight w:val="806"/>
        </w:trPr>
        <w:tc>
          <w:tcPr>
            <w:tcW w:w="468" w:type="dxa"/>
          </w:tcPr>
          <w:p w:rsidR="001E2CED" w:rsidRDefault="001E2CED" w:rsidP="001E2CED">
            <w:pPr>
              <w:jc w:val="center"/>
            </w:pPr>
            <w:r>
              <w:t>2</w:t>
            </w:r>
          </w:p>
        </w:tc>
        <w:tc>
          <w:tcPr>
            <w:tcW w:w="4500" w:type="dxa"/>
          </w:tcPr>
          <w:p w:rsidR="001E2CED" w:rsidRDefault="001E2CED" w:rsidP="004A1B28">
            <w:r>
              <w:t xml:space="preserve">Cumulative receiving yards against each team </w:t>
            </w:r>
            <w:r w:rsidRPr="001E2CED">
              <w:t xml:space="preserve">during </w:t>
            </w:r>
            <w:r w:rsidR="004A1B28">
              <w:t>weeks 1-6</w:t>
            </w:r>
            <w:r w:rsidR="004A1B28" w:rsidRPr="001E2CED">
              <w:t xml:space="preserve"> (combined)</w:t>
            </w:r>
            <w:r w:rsidR="004A1B28">
              <w:t xml:space="preserve"> </w:t>
            </w:r>
            <w:r w:rsidR="002D7662">
              <w:t>of the current season</w:t>
            </w:r>
            <w:r w:rsidRPr="001E2CED">
              <w:t>.</w:t>
            </w:r>
          </w:p>
        </w:tc>
        <w:tc>
          <w:tcPr>
            <w:tcW w:w="1260" w:type="dxa"/>
          </w:tcPr>
          <w:p w:rsidR="001E2CED" w:rsidRDefault="001E2CED" w:rsidP="001E2CED"/>
        </w:tc>
      </w:tr>
      <w:tr w:rsidR="001E2CED" w:rsidTr="001E2CED">
        <w:trPr>
          <w:trHeight w:val="806"/>
        </w:trPr>
        <w:tc>
          <w:tcPr>
            <w:tcW w:w="468" w:type="dxa"/>
          </w:tcPr>
          <w:p w:rsidR="001E2CED" w:rsidRDefault="001E2CED" w:rsidP="001E2CED">
            <w:pPr>
              <w:jc w:val="center"/>
            </w:pPr>
            <w:r>
              <w:t>3</w:t>
            </w:r>
          </w:p>
        </w:tc>
        <w:tc>
          <w:tcPr>
            <w:tcW w:w="4500" w:type="dxa"/>
          </w:tcPr>
          <w:p w:rsidR="001E2CED" w:rsidRDefault="001E2CED" w:rsidP="004A1B28">
            <w:r>
              <w:t xml:space="preserve">Cumulative fantasy points scored by each team’s defense (DST) during </w:t>
            </w:r>
            <w:r w:rsidR="004A1B28">
              <w:t>weeks 1-6</w:t>
            </w:r>
            <w:r w:rsidR="004A1B28" w:rsidRPr="001E2CED">
              <w:t xml:space="preserve"> (combined)</w:t>
            </w:r>
            <w:r w:rsidR="002D7662">
              <w:t xml:space="preserve"> of the current season</w:t>
            </w:r>
            <w:r>
              <w:t>.</w:t>
            </w:r>
          </w:p>
        </w:tc>
        <w:tc>
          <w:tcPr>
            <w:tcW w:w="1260" w:type="dxa"/>
          </w:tcPr>
          <w:p w:rsidR="001E2CED" w:rsidRDefault="001E2CED" w:rsidP="001E2CED"/>
        </w:tc>
      </w:tr>
    </w:tbl>
    <w:p w:rsidR="00824CAE" w:rsidRDefault="001E2CED" w:rsidP="00824CAE">
      <w:r>
        <w:br/>
        <w:t xml:space="preserve">And choose one more variable that you think might be related to QB points </w:t>
      </w:r>
      <w:r w:rsidR="00A22AFF">
        <w:t>scored against each team</w:t>
      </w:r>
      <w: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00"/>
        <w:gridCol w:w="1260"/>
      </w:tblGrid>
      <w:tr w:rsidR="001E2CED" w:rsidTr="001E2CED">
        <w:trPr>
          <w:trHeight w:val="85"/>
        </w:trPr>
        <w:tc>
          <w:tcPr>
            <w:tcW w:w="468" w:type="dxa"/>
          </w:tcPr>
          <w:p w:rsidR="001E2CED" w:rsidRDefault="001E2CED" w:rsidP="001E2CED">
            <w:pPr>
              <w:jc w:val="center"/>
            </w:pPr>
            <w:r>
              <w:t>#</w:t>
            </w:r>
          </w:p>
        </w:tc>
        <w:tc>
          <w:tcPr>
            <w:tcW w:w="4500" w:type="dxa"/>
          </w:tcPr>
          <w:p w:rsidR="001E2CED" w:rsidRDefault="001E2CED" w:rsidP="001E2CED">
            <w:r>
              <w:t>Variable</w:t>
            </w:r>
          </w:p>
        </w:tc>
        <w:tc>
          <w:tcPr>
            <w:tcW w:w="1260" w:type="dxa"/>
          </w:tcPr>
          <w:p w:rsidR="001E2CED" w:rsidRDefault="001E2CED" w:rsidP="001E2CED">
            <w:proofErr w:type="spellStart"/>
            <w:r>
              <w:t>r-value</w:t>
            </w:r>
            <w:proofErr w:type="spellEnd"/>
          </w:p>
        </w:tc>
      </w:tr>
      <w:tr w:rsidR="001E2CED" w:rsidTr="001E2CED">
        <w:trPr>
          <w:trHeight w:val="806"/>
        </w:trPr>
        <w:tc>
          <w:tcPr>
            <w:tcW w:w="468" w:type="dxa"/>
          </w:tcPr>
          <w:p w:rsidR="001E2CED" w:rsidRDefault="001E2CED" w:rsidP="001E2CED">
            <w:pPr>
              <w:jc w:val="center"/>
            </w:pPr>
            <w:r>
              <w:t>4</w:t>
            </w:r>
          </w:p>
        </w:tc>
        <w:tc>
          <w:tcPr>
            <w:tcW w:w="4500" w:type="dxa"/>
          </w:tcPr>
          <w:p w:rsidR="001E2CED" w:rsidRDefault="001E2CED" w:rsidP="001E2CED"/>
          <w:p w:rsidR="001E2CED" w:rsidRDefault="001E2CED" w:rsidP="001E2CED"/>
        </w:tc>
        <w:tc>
          <w:tcPr>
            <w:tcW w:w="1260" w:type="dxa"/>
          </w:tcPr>
          <w:p w:rsidR="001E2CED" w:rsidRDefault="001E2CED" w:rsidP="001E2CED"/>
        </w:tc>
      </w:tr>
    </w:tbl>
    <w:p w:rsidR="002E34D2" w:rsidRDefault="001E2CED">
      <w:r>
        <w:br/>
        <w:t xml:space="preserve">Use the =CORREL() function in Excel to determine the </w:t>
      </w:r>
      <w:proofErr w:type="spellStart"/>
      <w:r>
        <w:t>r-values</w:t>
      </w:r>
      <w:proofErr w:type="spellEnd"/>
      <w:r>
        <w:t xml:space="preserve"> of </w:t>
      </w:r>
      <w:r w:rsidR="00A676EA">
        <w:t>each</w:t>
      </w:r>
      <w:r>
        <w:t xml:space="preserve"> variable</w:t>
      </w:r>
      <w:r w:rsidR="00A676EA">
        <w:t>’</w:t>
      </w:r>
      <w:r>
        <w:t>s</w:t>
      </w:r>
      <w:r w:rsidR="00A676EA">
        <w:t xml:space="preserve"> association with the Week</w:t>
      </w:r>
      <w:r w:rsidR="004A1B28">
        <w:t>s 7 &amp;</w:t>
      </w:r>
      <w:r w:rsidR="00A676EA">
        <w:t xml:space="preserve"> </w:t>
      </w:r>
      <w:r w:rsidR="004A1B28">
        <w:t>8</w:t>
      </w:r>
      <w:r w:rsidR="00A676EA">
        <w:t xml:space="preserve"> QB points scored against each team</w:t>
      </w:r>
      <w:r>
        <w:t>, and fill-in the tables accordingly.</w:t>
      </w:r>
      <w:r w:rsidR="002E34D2">
        <w:br w:type="page"/>
      </w:r>
    </w:p>
    <w:p w:rsidR="001E2CED" w:rsidRDefault="002E34D2" w:rsidP="00824CAE">
      <w:r>
        <w:lastRenderedPageBreak/>
        <w:t xml:space="preserve">Now let’s try some actual modeling.  </w:t>
      </w:r>
    </w:p>
    <w:tbl>
      <w:tblPr>
        <w:tblpPr w:leftFromText="288" w:rightFromText="187" w:vertAnchor="page" w:horzAnchor="margin" w:tblpXSpec="right" w:tblpY="3255"/>
        <w:tblOverlap w:val="never"/>
        <w:tblW w:w="2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946"/>
      </w:tblGrid>
      <w:tr w:rsidR="002E197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vAlign w:val="bottom"/>
          </w:tcPr>
          <w:p w:rsidR="002E1977" w:rsidRPr="00403EC3" w:rsidRDefault="002E1977" w:rsidP="00403EC3">
            <w:pPr>
              <w:spacing w:after="0" w:line="240" w:lineRule="auto"/>
              <w:contextualSpacing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403EC3">
              <w:rPr>
                <w:rFonts w:eastAsia="Times New Roman" w:cs="Calibri"/>
                <w:color w:val="000000"/>
                <w:sz w:val="18"/>
                <w:szCs w:val="18"/>
              </w:rPr>
              <w:t>opponent</w:t>
            </w:r>
          </w:p>
        </w:tc>
        <w:tc>
          <w:tcPr>
            <w:tcW w:w="1946" w:type="dxa"/>
            <w:shd w:val="clear" w:color="auto" w:fill="auto"/>
            <w:noWrap/>
            <w:vAlign w:val="bottom"/>
          </w:tcPr>
          <w:p w:rsidR="002E1977" w:rsidRPr="00403EC3" w:rsidRDefault="002D7662" w:rsidP="00403EC3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Sum of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fantasyPoints</w:t>
            </w:r>
            <w:proofErr w:type="spellEnd"/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ARI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12.10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ATL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17.90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BAL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8.30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BUF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10.10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CAR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23.50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CHI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20.40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CIN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34.30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CLE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28.90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DAL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8.40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DEN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4.30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DET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11.60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GB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7.90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HOU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22.90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IND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3.60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JAX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6.80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KC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8.40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MIA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22.90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MIN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15.00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NE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28.40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NO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15.90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NYG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22.90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NYJ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25.00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OAK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33.90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PIT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24.00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SD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22.90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SEA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25.40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SF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26.20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STL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10.70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TEN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7.40</w:t>
            </w:r>
          </w:p>
        </w:tc>
      </w:tr>
      <w:tr w:rsidR="00566297" w:rsidRPr="00403EC3" w:rsidTr="002E1977">
        <w:trPr>
          <w:trHeight w:val="86"/>
        </w:trPr>
        <w:tc>
          <w:tcPr>
            <w:tcW w:w="1008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WSH</w:t>
            </w:r>
          </w:p>
        </w:tc>
        <w:tc>
          <w:tcPr>
            <w:tcW w:w="1946" w:type="dxa"/>
            <w:shd w:val="clear" w:color="auto" w:fill="auto"/>
            <w:noWrap/>
            <w:hideMark/>
          </w:tcPr>
          <w:p w:rsidR="00566297" w:rsidRPr="00566297" w:rsidRDefault="00566297" w:rsidP="00566297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566297">
              <w:rPr>
                <w:sz w:val="18"/>
                <w:szCs w:val="18"/>
              </w:rPr>
              <w:t>7.60</w:t>
            </w:r>
          </w:p>
        </w:tc>
      </w:tr>
    </w:tbl>
    <w:p w:rsidR="00654227" w:rsidRDefault="009309F8" w:rsidP="00824CAE">
      <w:r>
        <w:t xml:space="preserve">Big numbers come from running backs </w:t>
      </w:r>
      <w:proofErr w:type="gramStart"/>
      <w:r>
        <w:t>who</w:t>
      </w:r>
      <w:proofErr w:type="gramEnd"/>
      <w:r>
        <w:t xml:space="preserve"> score touchdowns, and a team that allows rushing touchdowns would be a favorable matchup for any RB.</w:t>
      </w:r>
      <w:r w:rsidR="002E1977">
        <w:t xml:space="preserve">  We’re going to try to make a regression equation that will predict running back fantasy points using just one predictor variable: the total number of rushing touchdowns allowed by an opponent during the previous two weeks.</w:t>
      </w:r>
    </w:p>
    <w:p w:rsidR="009309F8" w:rsidRPr="005C5E8E" w:rsidRDefault="002E1977" w:rsidP="009309F8">
      <w:pPr>
        <w:rPr>
          <w:i/>
        </w:rPr>
      </w:pPr>
      <w:r>
        <w:t xml:space="preserve">First, make a column </w:t>
      </w:r>
      <w:proofErr w:type="spellStart"/>
      <w:r>
        <w:t>kinda</w:t>
      </w:r>
      <w:proofErr w:type="spellEnd"/>
      <w:r>
        <w:t xml:space="preserve"> like the previous exercise, where you list the </w:t>
      </w:r>
      <w:r w:rsidR="001E6B9A">
        <w:t>average</w:t>
      </w:r>
      <w:r w:rsidR="00566297">
        <w:t xml:space="preserve"> running back</w:t>
      </w:r>
      <w:r>
        <w:t xml:space="preserve"> fantasy points </w:t>
      </w:r>
      <w:r w:rsidR="001E6B9A">
        <w:t>scored against each team in</w:t>
      </w:r>
      <w:r>
        <w:t xml:space="preserve"> week</w:t>
      </w:r>
      <w:r w:rsidR="005C5E8E">
        <w:t xml:space="preserve"> 7</w:t>
      </w:r>
      <w:r>
        <w:t xml:space="preserve"> of the</w:t>
      </w:r>
      <w:r w:rsidR="002D7662">
        <w:t xml:space="preserve"> current</w:t>
      </w:r>
      <w:r>
        <w:t xml:space="preserve"> NFL season.  These are the “y” values, the values you’re trying to predict.</w:t>
      </w:r>
      <w:r w:rsidR="005C5E8E">
        <w:t xml:space="preserve">  </w:t>
      </w:r>
      <w:r w:rsidR="005C5E8E" w:rsidRPr="005C5E8E">
        <w:rPr>
          <w:i/>
        </w:rPr>
        <w:t xml:space="preserve">Note that there aren't any values for the </w:t>
      </w:r>
      <w:r w:rsidR="005C5E8E">
        <w:rPr>
          <w:i/>
        </w:rPr>
        <w:t>Eagles</w:t>
      </w:r>
      <w:r w:rsidR="005C5E8E" w:rsidRPr="005C5E8E">
        <w:rPr>
          <w:i/>
        </w:rPr>
        <w:t xml:space="preserve"> and the 49ers, </w:t>
      </w:r>
      <w:proofErr w:type="gramStart"/>
      <w:r w:rsidR="005C5E8E" w:rsidRPr="005C5E8E">
        <w:rPr>
          <w:i/>
        </w:rPr>
        <w:t>who</w:t>
      </w:r>
      <w:proofErr w:type="gramEnd"/>
      <w:r w:rsidR="005C5E8E" w:rsidRPr="005C5E8E">
        <w:rPr>
          <w:i/>
        </w:rPr>
        <w:t xml:space="preserve"> were on bye.</w:t>
      </w:r>
    </w:p>
    <w:p w:rsidR="002E1977" w:rsidRDefault="002E1977" w:rsidP="009309F8">
      <w:r>
        <w:t xml:space="preserve">Now make a column that represents the total number of rushing </w:t>
      </w:r>
      <w:r w:rsidR="00566297">
        <w:t>yards</w:t>
      </w:r>
      <w:r>
        <w:t xml:space="preserve"> scored </w:t>
      </w:r>
      <w:r w:rsidR="001E6B9A">
        <w:t xml:space="preserve">against each team in the first </w:t>
      </w:r>
      <w:r w:rsidR="00566297">
        <w:t>6</w:t>
      </w:r>
      <w:r>
        <w:t xml:space="preserve"> weeks of the season.  These are your “x” values, the predictor variable.</w:t>
      </w:r>
    </w:p>
    <w:p w:rsidR="002E1977" w:rsidRDefault="002E1977" w:rsidP="009309F8">
      <w:r>
        <w:t xml:space="preserve">You’ll need to enable Excel’s Data Analysis </w:t>
      </w:r>
      <w:proofErr w:type="spellStart"/>
      <w:r>
        <w:t>Toolpak</w:t>
      </w:r>
      <w:proofErr w:type="spellEnd"/>
      <w:r>
        <w:t xml:space="preserve"> to do this exercise…  Do a quick Google search (try: enable data analysis </w:t>
      </w:r>
      <w:proofErr w:type="spellStart"/>
      <w:r>
        <w:t>toolpak</w:t>
      </w:r>
      <w:proofErr w:type="spellEnd"/>
      <w:r>
        <w:t>), and follow the instructions.  Raise your hand if you have problems with it.</w:t>
      </w:r>
    </w:p>
    <w:p w:rsidR="00CA3A30" w:rsidRDefault="00C70152" w:rsidP="009309F8">
      <w:r>
        <w:t xml:space="preserve">Click on the Data tab, and on the far right, you should now see a button for “Data Analysis”—click on it, then select </w:t>
      </w:r>
      <w:r w:rsidR="00CA3A30">
        <w:t>“Regression” and click “OK.”</w:t>
      </w:r>
      <w:r w:rsidR="00566297">
        <w:t xml:space="preserve">  </w:t>
      </w:r>
      <w:r w:rsidR="00CA3A30">
        <w:t xml:space="preserve">For the x-values, select the column that represents the total </w:t>
      </w:r>
      <w:r w:rsidR="00934005">
        <w:t xml:space="preserve">sum of </w:t>
      </w:r>
      <w:r w:rsidR="00CA3A30">
        <w:t xml:space="preserve">rushing </w:t>
      </w:r>
      <w:r w:rsidR="00566297">
        <w:t>yards</w:t>
      </w:r>
      <w:r w:rsidR="00CA3A30">
        <w:t xml:space="preserve"> scored aga</w:t>
      </w:r>
      <w:r w:rsidR="00566297">
        <w:t>inst each team for the first six</w:t>
      </w:r>
      <w:r w:rsidR="00CA3A30">
        <w:t xml:space="preserve"> weeks.</w:t>
      </w:r>
      <w:r w:rsidR="00566297">
        <w:t xml:space="preserve">  </w:t>
      </w:r>
      <w:r w:rsidR="00CA3A30">
        <w:t xml:space="preserve">For the y-values, select the running back fantasy points scored against each team from week </w:t>
      </w:r>
      <w:r w:rsidR="00566297">
        <w:t>7</w:t>
      </w:r>
      <w:bookmarkStart w:id="0" w:name="_GoBack"/>
      <w:bookmarkEnd w:id="0"/>
      <w:r w:rsidR="00CA3A30">
        <w:t>.</w:t>
      </w:r>
    </w:p>
    <w:p w:rsidR="00CA3A30" w:rsidRDefault="00CA3A30" w:rsidP="009309F8">
      <w:r>
        <w:t>Then click OK.</w:t>
      </w:r>
    </w:p>
    <w:p w:rsidR="00CA3A30" w:rsidRDefault="00CA3A30" w:rsidP="009309F8">
      <w:r>
        <w:t xml:space="preserve">In the output worksheet, identify the following: </w:t>
      </w:r>
    </w:p>
    <w:p w:rsidR="00CA3A30" w:rsidRDefault="00CA3A30" w:rsidP="00CA3A30">
      <w:pPr>
        <w:pStyle w:val="ListParagraph"/>
        <w:numPr>
          <w:ilvl w:val="0"/>
          <w:numId w:val="5"/>
        </w:numPr>
      </w:pPr>
      <w:r>
        <w:t xml:space="preserve">The correlation coefficient (called </w:t>
      </w:r>
      <w:r>
        <w:br/>
        <w:t xml:space="preserve">“multiple r”) that represents the </w:t>
      </w:r>
      <w:r>
        <w:br/>
        <w:t>relationship between these two variables: ____________</w:t>
      </w:r>
    </w:p>
    <w:p w:rsidR="00CA3A30" w:rsidRDefault="00CA3A30" w:rsidP="00CA3A30">
      <w:pPr>
        <w:pStyle w:val="ListParagraph"/>
      </w:pPr>
    </w:p>
    <w:p w:rsidR="00CA3A30" w:rsidRDefault="00CA3A30" w:rsidP="00CA3A30">
      <w:pPr>
        <w:pStyle w:val="ListParagraph"/>
        <w:numPr>
          <w:ilvl w:val="0"/>
          <w:numId w:val="5"/>
        </w:numPr>
      </w:pPr>
      <w:r>
        <w:t>The p-value of this relationship: ____________________</w:t>
      </w:r>
    </w:p>
    <w:p w:rsidR="00CA3A30" w:rsidRDefault="00CA3A30" w:rsidP="00CA3A30">
      <w:pPr>
        <w:pStyle w:val="ListParagraph"/>
      </w:pPr>
    </w:p>
    <w:p w:rsidR="002E1977" w:rsidRDefault="00CA3A30" w:rsidP="009309F8">
      <w:pPr>
        <w:pStyle w:val="ListParagraph"/>
        <w:numPr>
          <w:ilvl w:val="0"/>
          <w:numId w:val="5"/>
        </w:numPr>
        <w:tabs>
          <w:tab w:val="left" w:pos="4140"/>
        </w:tabs>
      </w:pPr>
      <w:r>
        <w:lastRenderedPageBreak/>
        <w:t xml:space="preserve">The equation of the regression line: </w:t>
      </w:r>
      <w:r>
        <w:br/>
        <w:t xml:space="preserve"> </w:t>
      </w:r>
      <w:r>
        <w:tab/>
      </w:r>
      <w:r w:rsidRPr="00CA3A30">
        <w:rPr>
          <w:sz w:val="44"/>
        </w:rPr>
        <w:t>ŷ = _____ +</w:t>
      </w:r>
      <w:r>
        <w:rPr>
          <w:sz w:val="44"/>
        </w:rPr>
        <w:t xml:space="preserve"> (</w:t>
      </w:r>
      <w:r w:rsidRPr="00CA3A30">
        <w:rPr>
          <w:sz w:val="44"/>
        </w:rPr>
        <w:t xml:space="preserve"> _____ * x</w:t>
      </w:r>
      <w:r>
        <w:rPr>
          <w:sz w:val="44"/>
        </w:rPr>
        <w:t>)</w:t>
      </w:r>
    </w:p>
    <w:sectPr w:rsidR="002E1977" w:rsidSect="003A57F2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45B6D"/>
    <w:multiLevelType w:val="hybridMultilevel"/>
    <w:tmpl w:val="67B0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F658C"/>
    <w:multiLevelType w:val="hybridMultilevel"/>
    <w:tmpl w:val="DBF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B31BC"/>
    <w:multiLevelType w:val="hybridMultilevel"/>
    <w:tmpl w:val="AB52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02617"/>
    <w:multiLevelType w:val="hybridMultilevel"/>
    <w:tmpl w:val="06B81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03E39"/>
    <w:multiLevelType w:val="hybridMultilevel"/>
    <w:tmpl w:val="2436A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C2"/>
    <w:rsid w:val="000145FC"/>
    <w:rsid w:val="00086497"/>
    <w:rsid w:val="000B7C95"/>
    <w:rsid w:val="000F14F0"/>
    <w:rsid w:val="001435A4"/>
    <w:rsid w:val="00171282"/>
    <w:rsid w:val="00194A8B"/>
    <w:rsid w:val="001E0C09"/>
    <w:rsid w:val="001E2CED"/>
    <w:rsid w:val="001E6B9A"/>
    <w:rsid w:val="001F1E71"/>
    <w:rsid w:val="00235723"/>
    <w:rsid w:val="00280EA5"/>
    <w:rsid w:val="002C6C9E"/>
    <w:rsid w:val="002D7662"/>
    <w:rsid w:val="002E1977"/>
    <w:rsid w:val="002E34D2"/>
    <w:rsid w:val="003A57F2"/>
    <w:rsid w:val="00403EC3"/>
    <w:rsid w:val="0045446E"/>
    <w:rsid w:val="004A1B28"/>
    <w:rsid w:val="004F7D82"/>
    <w:rsid w:val="00531EC9"/>
    <w:rsid w:val="00566297"/>
    <w:rsid w:val="005835D0"/>
    <w:rsid w:val="005C5E8E"/>
    <w:rsid w:val="00654227"/>
    <w:rsid w:val="00687CC2"/>
    <w:rsid w:val="0069137D"/>
    <w:rsid w:val="006A4B18"/>
    <w:rsid w:val="0070558E"/>
    <w:rsid w:val="00723A4A"/>
    <w:rsid w:val="007B7BD1"/>
    <w:rsid w:val="007F76E6"/>
    <w:rsid w:val="00824CAE"/>
    <w:rsid w:val="008A37B5"/>
    <w:rsid w:val="008B23B8"/>
    <w:rsid w:val="009011F7"/>
    <w:rsid w:val="00904838"/>
    <w:rsid w:val="009309F8"/>
    <w:rsid w:val="00934005"/>
    <w:rsid w:val="00A22AFF"/>
    <w:rsid w:val="00A676EA"/>
    <w:rsid w:val="00AF6EC3"/>
    <w:rsid w:val="00AF6FAD"/>
    <w:rsid w:val="00B04D27"/>
    <w:rsid w:val="00B10651"/>
    <w:rsid w:val="00BA5410"/>
    <w:rsid w:val="00BD31B3"/>
    <w:rsid w:val="00BE7AAD"/>
    <w:rsid w:val="00C072C8"/>
    <w:rsid w:val="00C64AAD"/>
    <w:rsid w:val="00C70152"/>
    <w:rsid w:val="00CA3A30"/>
    <w:rsid w:val="00D444D2"/>
    <w:rsid w:val="00D6415B"/>
    <w:rsid w:val="00DD58BA"/>
    <w:rsid w:val="00E05432"/>
    <w:rsid w:val="00E91104"/>
    <w:rsid w:val="00ED3355"/>
    <w:rsid w:val="00F3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 Student</dc:creator>
  <cp:keywords/>
  <dc:description/>
  <cp:lastModifiedBy>Motz, Benjamin Alan</cp:lastModifiedBy>
  <cp:revision>1</cp:revision>
  <cp:lastPrinted>2013-10-03T14:10:00Z</cp:lastPrinted>
  <dcterms:created xsi:type="dcterms:W3CDTF">2014-10-30T14:07:00Z</dcterms:created>
  <dcterms:modified xsi:type="dcterms:W3CDTF">2014-10-30T14:44:00Z</dcterms:modified>
</cp:coreProperties>
</file>