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8.pdf" ContentType="application/pdf"/>
  <Override PartName="/word/media/rId44.pdf" ContentType="application/pdf"/>
  <Override PartName="/word/media/rId32.pdf" ContentType="application/pdf"/>
  <Override PartName="/word/media/rId36.pdf" ContentType="application/pdf"/>
  <Override PartName="/word/media/rId40.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p>
    <w:bookmarkStart w:id="27" w:name="X20addfcfb4b98db88fef60f32d489058eb5dbcb"/>
    <w:p>
      <w:pPr>
        <w:pStyle w:val="Heading1"/>
      </w:pPr>
      <w:r>
        <w:t xml:space="preserve">Details on parameters used to describe species-environmental relationships</w:t>
      </w:r>
    </w:p>
    <w:p>
      <w:pPr>
        <w:pStyle w:val="FirstParagraph"/>
      </w:pPr>
      <w:r>
        <w:t xml:space="preserve">Here, we present how we derived the three ecological parameters (Fig. S1.1) describing species-environment relationships (i.e. the environmental optimum</w:t>
      </w:r>
      <w:r>
        <w:t xml:space="preserve"> </w:t>
      </w:r>
      <m:oMath>
        <m:r>
          <m:t>θ</m:t>
        </m:r>
      </m:oMath>
      <w:r>
        <w:t xml:space="preserve">, the maximum probability of presence</w:t>
      </w:r>
      <w:r>
        <w:t xml:space="preserve"> </w:t>
      </w:r>
      <m:oMath>
        <m:sSub>
          <m:e>
            <m:r>
              <m:t>ψ</m:t>
            </m:r>
          </m:e>
          <m:sub>
            <m:r>
              <m:t>m</m:t>
            </m:r>
            <m:r>
              <m:t>a</m:t>
            </m:r>
            <m:r>
              <m:t>x</m:t>
            </m:r>
          </m:sub>
        </m:sSub>
      </m:oMath>
      <w:r>
        <w:t xml:space="preserve">, the SER width</w:t>
      </w:r>
      <w:r>
        <w:t xml:space="preserve"> </w:t>
      </w:r>
      <m:oMath>
        <m:r>
          <m:t>ω</m:t>
        </m:r>
      </m:oMath>
      <w:r>
        <w:t xml:space="preserve">) from the regression coefficients.</w:t>
      </w:r>
    </w:p>
    <w:p>
      <w:pPr>
        <w:pStyle w:val="CaptionedFigure"/>
      </w:pPr>
      <w:r>
        <w:drawing>
          <wp:inline>
            <wp:extent cx="4513894" cy="4893110"/>
            <wp:effectExtent b="0" l="0" r="0" t="0"/>
            <wp:docPr descr="Illustration of a bell-shaped species-environment relationship with three associated ecological parameters: the maximum probability of presence \psi_{max}, the environmental optimum \theta and the ecological width \omega." title="" id="21" name="Picture"/>
            <a:graphic>
              <a:graphicData uri="http://schemas.openxmlformats.org/drawingml/2006/picture">
                <pic:pic>
                  <pic:nvPicPr>
                    <pic:cNvPr descr="../results/img/figS1.png" id="22" name="Picture"/>
                    <pic:cNvPicPr>
                      <a:picLocks noChangeArrowheads="1" noChangeAspect="1"/>
                    </pic:cNvPicPr>
                  </pic:nvPicPr>
                  <pic:blipFill>
                    <a:blip r:embed="rId20"/>
                    <a:stretch>
                      <a:fillRect/>
                    </a:stretch>
                  </pic:blipFill>
                  <pic:spPr bwMode="auto">
                    <a:xfrm>
                      <a:off x="0" y="0"/>
                      <a:ext cx="4513894" cy="4893110"/>
                    </a:xfrm>
                    <a:prstGeom prst="rect">
                      <a:avLst/>
                    </a:prstGeom>
                    <a:noFill/>
                    <a:ln w="9525">
                      <a:noFill/>
                      <a:headEnd/>
                      <a:tailEnd/>
                    </a:ln>
                  </pic:spPr>
                </pic:pic>
              </a:graphicData>
            </a:graphic>
          </wp:inline>
        </w:drawing>
      </w:r>
    </w:p>
    <w:p>
      <w:pPr>
        <w:pStyle w:val="ImageCaption"/>
      </w:pPr>
      <w:r>
        <w:t xml:space="preserve">Illustration of a bell-shaped species-environment relationship with three associated ecological parameters: the maximum probability of presence</w:t>
      </w:r>
      <w:r>
        <w:t xml:space="preserve"> </w:t>
      </w:r>
      <m:oMath>
        <m:sSub>
          <m:e>
            <m:r>
              <m:t>ψ</m:t>
            </m:r>
          </m:e>
          <m:sub>
            <m:r>
              <m:t>m</m:t>
            </m:r>
            <m:r>
              <m:t>a</m:t>
            </m:r>
            <m:r>
              <m:t>x</m:t>
            </m:r>
          </m:sub>
        </m:sSub>
      </m:oMath>
      <w:r>
        <w:t xml:space="preserve">, the environmental optimum</w:t>
      </w:r>
      <w:r>
        <w:t xml:space="preserve"> </w:t>
      </w:r>
      <m:oMath>
        <m:r>
          <m:t>θ</m:t>
        </m:r>
      </m:oMath>
      <w:r>
        <w:t xml:space="preserve"> </w:t>
      </w:r>
      <w:r>
        <w:t xml:space="preserve">and the ecological width</w:t>
      </w:r>
      <w:r>
        <w:t xml:space="preserve"> </w:t>
      </w:r>
      <m:oMath>
        <m:r>
          <m:t>ω</m:t>
        </m:r>
      </m:oMath>
      <w:r>
        <w:t xml:space="preserve">.</w:t>
      </w:r>
    </w:p>
    <w:p>
      <w:pPr>
        <w:pStyle w:val="BodyText"/>
      </w:pPr>
      <w:r>
        <w:t xml:space="preserve">The regression modelling SER was specified as:</w:t>
      </w:r>
    </w:p>
    <w:p>
      <w:pPr>
        <w:pStyle w:val="BodyText"/>
      </w:pPr>
      <m:oMathPara>
        <m:oMathParaPr>
          <m:jc m:val="center"/>
        </m:oMathParaPr>
        <m:oMath>
          <m:r>
            <m:t>l</m:t>
          </m:r>
          <m:r>
            <m:t>o</m:t>
          </m:r>
          <m:r>
            <m:t>g</m:t>
          </m:r>
          <m:r>
            <m:t>i</m:t>
          </m:r>
          <m:r>
            <m:t>t</m:t>
          </m:r>
          <m:d>
            <m:dPr>
              <m:begChr m:val="("/>
              <m:endChr m:val=")"/>
              <m:sepChr m:val=""/>
              <m:grow/>
            </m:dPr>
            <m:e>
              <m:r>
                <m:t>ψ</m:t>
              </m:r>
            </m:e>
          </m:d>
          <m:r>
            <m:rPr>
              <m:sty m:val="p"/>
            </m:rPr>
            <m:t>=</m:t>
          </m:r>
          <m:r>
            <m:t>f</m:t>
          </m:r>
          <m:d>
            <m:dPr>
              <m:begChr m:val="("/>
              <m:endChr m:val=")"/>
              <m:sepChr m:val=""/>
              <m:grow/>
            </m:dPr>
            <m:e>
              <m:r>
                <m:t>X</m:t>
              </m:r>
            </m:e>
          </m:d>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oMath>
      </m:oMathPara>
    </w:p>
    <w:p>
      <w:pPr>
        <w:pStyle w:val="FirstParagraph"/>
      </w:pPr>
      <w:r>
        <w:t xml:space="preserve">with</w:t>
      </w:r>
      <w:r>
        <w:t xml:space="preserve"> </w:t>
      </w:r>
      <m:oMath>
        <m:r>
          <m:t>ψ</m:t>
        </m:r>
      </m:oMath>
      <w:r>
        <w:t xml:space="preserve"> </w:t>
      </w:r>
      <w:r>
        <w:t xml:space="preserve">the probability of presence,</w:t>
      </w:r>
      <w:r>
        <w:t xml:space="preserve"> </w:t>
      </w:r>
      <m:oMath>
        <m:r>
          <m:t>X</m:t>
        </m:r>
      </m:oMath>
      <w:r>
        <w:t xml:space="preserve"> </w:t>
      </w:r>
      <w:r>
        <w:t xml:space="preserve">the environmental value and</w:t>
      </w:r>
      <w:r>
        <w:t xml:space="preserve"> </w:t>
      </w:r>
      <m:oMath>
        <m:r>
          <m:t>β</m:t>
        </m:r>
      </m:oMath>
      <w:r>
        <w:t xml:space="preserve">s the regression coefficients.</w:t>
      </w:r>
    </w:p>
    <w:bookmarkStart w:id="23" w:name="environmental-optimum-theta"/>
    <w:p>
      <w:pPr>
        <w:pStyle w:val="Heading2"/>
      </w:pPr>
      <w:r>
        <w:t xml:space="preserve">Environmental optimum (</w:t>
      </w:r>
      <m:oMath>
        <m:r>
          <m:t>θ</m:t>
        </m:r>
      </m:oMath>
      <w:r>
        <w:t xml:space="preserve">)</w:t>
      </w:r>
    </w:p>
    <w:p>
      <w:pPr>
        <w:pStyle w:val="FirstParagraph"/>
      </w:pPr>
      <w:r>
        <w:t xml:space="preserve">The environmental optimum is the environmental value associated with the maximum probability of presence.</w:t>
      </w:r>
      <w:r>
        <w:t xml:space="preserve"> </w:t>
      </w:r>
      <m:oMath>
        <m:r>
          <m:t>θ</m:t>
        </m:r>
      </m:oMath>
      <w:r>
        <w:t xml:space="preserve"> </w:t>
      </w:r>
      <w:r>
        <w:t xml:space="preserve">is reached when the derivative of the regression equals zero:</w:t>
      </w:r>
      <w:r>
        <w:t xml:space="preserve"> </w:t>
      </w:r>
    </w:p>
    <w:bookmarkEnd w:id="23"/>
    <w:bookmarkStart w:id="24" w:name="maximum-probability-of-presence-psi_max"/>
    <w:p>
      <w:pPr>
        <w:pStyle w:val="Heading2"/>
      </w:pPr>
      <w:r>
        <w:t xml:space="preserve">Maximum probability of presence (</w:t>
      </w:r>
      <m:oMath>
        <m:sSub>
          <m:e>
            <m:r>
              <m:t>ψ</m:t>
            </m:r>
          </m:e>
          <m:sub>
            <m:r>
              <m:t>m</m:t>
            </m:r>
            <m:r>
              <m:t>a</m:t>
            </m:r>
            <m:r>
              <m:t>x</m:t>
            </m:r>
          </m:sub>
        </m:sSub>
      </m:oMath>
      <w:r>
        <w:t xml:space="preserve">)</w:t>
      </w:r>
    </w:p>
    <w:p>
      <w:pPr>
        <w:pStyle w:val="FirstParagraph"/>
      </w:pPr>
      <m:oMath>
        <m:sSub>
          <m:e>
            <m:r>
              <m:t>ψ</m:t>
            </m:r>
          </m:e>
          <m:sub>
            <m:r>
              <m:t>m</m:t>
            </m:r>
            <m:r>
              <m:t>a</m:t>
            </m:r>
            <m:r>
              <m:t>x</m:t>
            </m:r>
          </m:sub>
        </m:sSub>
      </m:oMath>
      <w:r>
        <w:t xml:space="preserve"> </w:t>
      </w:r>
      <w:r>
        <w:t xml:space="preserve">the maximum probability of presence is reached at environmental optimum. Thus we have:</w:t>
      </w:r>
      <w:r>
        <w:t xml:space="preserve"> </w:t>
      </w:r>
    </w:p>
    <w:bookmarkEnd w:id="24"/>
    <w:bookmarkStart w:id="25" w:name="ser-width-omega"/>
    <w:p>
      <w:pPr>
        <w:pStyle w:val="Heading2"/>
      </w:pPr>
      <w:r>
        <w:t xml:space="preserve">SER width (</w:t>
      </w:r>
      <m:oMath>
        <m:r>
          <m:t>ω</m:t>
        </m:r>
      </m:oMath>
      <w:r>
        <w:t xml:space="preserve">)</w:t>
      </w:r>
    </w:p>
    <w:p>
      <w:pPr>
        <w:pStyle w:val="FirstParagraph"/>
      </w:pPr>
      <m:oMath>
        <m:r>
          <m:t>ω</m:t>
        </m:r>
      </m:oMath>
      <w:r>
        <w:t xml:space="preserve"> </w:t>
      </w:r>
      <w:r>
        <w:t xml:space="preserve">the ecological width is a measure of the species ecological breadth (i.e. ecological tolerance) and is defined, for a bell-shaped SER, as the environmental distance between two points of the curve having a probability of presence of 0.05 (Michaelis &amp; Diekmann, 2017). We denote this probability of presence as</w:t>
      </w:r>
      <w:r>
        <w:t xml:space="preserve"> </w:t>
      </w:r>
      <m:oMath>
        <m:sSub>
          <m:e>
            <m:r>
              <m:t>ψ</m:t>
            </m:r>
          </m:e>
          <m:sub>
            <m:r>
              <m:t>ω</m:t>
            </m:r>
          </m:sub>
        </m:sSub>
        <m:r>
          <m:rPr>
            <m:sty m:val="p"/>
          </m:rPr>
          <m:t>=</m:t>
        </m:r>
        <m:r>
          <m:t>0.05</m:t>
        </m:r>
      </m:oMath>
      <w:r>
        <w:t xml:space="preserve">. Let’s set</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the solutions of the equation</w:t>
      </w:r>
      <w:r>
        <w:t xml:space="preserve"> </w:t>
      </w:r>
      <m:oMath>
        <m:sSub>
          <m:e>
            <m:r>
              <m:t>ψ</m:t>
            </m:r>
          </m:e>
          <m:sub>
            <m:r>
              <m:t>ω</m:t>
            </m:r>
          </m:sub>
        </m:sSub>
        <m:r>
          <m:rPr>
            <m:sty m:val="p"/>
          </m:rPr>
          <m:t>=</m:t>
        </m:r>
        <m:r>
          <m:t>0.05</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r>
          <m:t>l</m:t>
        </m:r>
        <m:r>
          <m:t>o</m:t>
        </m:r>
        <m:r>
          <m:t>g</m:t>
        </m:r>
        <m:r>
          <m:t>i</m:t>
        </m:r>
        <m:r>
          <m:t>t</m:t>
        </m:r>
        <m:d>
          <m:dPr>
            <m:begChr m:val="("/>
            <m:endChr m:val=")"/>
            <m:sepChr m:val=""/>
            <m:grow/>
          </m:dPr>
          <m:e>
            <m:r>
              <m:t>0.05</m:t>
            </m:r>
          </m:e>
        </m:d>
      </m:oMath>
      <w:r>
        <w:t xml:space="preserve">, then we have:</w:t>
      </w:r>
      <w:r>
        <w:t xml:space="preserve"> </w:t>
      </w:r>
      <w:r>
        <w:t xml:space="preserve"> </w:t>
      </w:r>
      <w:r>
        <w:t xml:space="preserve">with</w:t>
      </w:r>
      <w:r>
        <w:t xml:space="preserve"> </w:t>
      </w:r>
      <m:oMath>
        <m:r>
          <m:t>Δ</m:t>
        </m:r>
        <m:r>
          <m:rPr>
            <m:sty m:val="p"/>
          </m:rPr>
          <m:t>=</m:t>
        </m:r>
        <m:sSubSup>
          <m:e>
            <m:r>
              <m:t>β</m:t>
            </m:r>
          </m:e>
          <m:sub>
            <m:r>
              <m:t>1</m:t>
            </m:r>
          </m:sub>
          <m:sup>
            <m:r>
              <m:t>2</m:t>
            </m:r>
          </m:sup>
        </m:sSubSup>
        <m:r>
          <m:rPr>
            <m:sty m:val="p"/>
          </m:rPr>
          <m:t>−</m:t>
        </m:r>
        <m:r>
          <m:t>4</m:t>
        </m:r>
        <m:sSub>
          <m:e>
            <m:r>
              <m:t>β</m:t>
            </m:r>
          </m:e>
          <m:sub>
            <m:r>
              <m:t>0</m:t>
            </m:r>
          </m:sub>
        </m:sSub>
        <m:r>
          <m:rPr>
            <m:sty m:val="p"/>
          </m:rPr>
          <m:t>′</m:t>
        </m:r>
        <m:sSub>
          <m:e>
            <m:r>
              <m:t>β</m:t>
            </m:r>
          </m:e>
          <m:sub>
            <m:r>
              <m:t>2</m:t>
            </m:r>
          </m:sub>
        </m:sSub>
        <m:r>
          <m:rPr>
            <m:sty m:val="p"/>
          </m:rPr>
          <m:t>=</m:t>
        </m:r>
        <m:sSubSup>
          <m:e>
            <m:r>
              <m:t>β</m:t>
            </m:r>
          </m:e>
          <m:sub>
            <m:r>
              <m:t>1</m:t>
            </m:r>
          </m:sub>
          <m:sup>
            <m:r>
              <m:t>2</m:t>
            </m:r>
          </m:sup>
        </m:sSubSup>
        <m:r>
          <m:rPr>
            <m:sty m:val="p"/>
          </m:rPr>
          <m:t>−</m:t>
        </m:r>
        <m:r>
          <m:t>4</m:t>
        </m:r>
        <m:d>
          <m:dPr>
            <m:begChr m:val="("/>
            <m:endChr m:val=")"/>
            <m:sepChr m:val=""/>
            <m:grow/>
          </m:dPr>
          <m:e>
            <m:sSub>
              <m:e>
                <m:r>
                  <m:t>β</m:t>
                </m:r>
              </m:e>
              <m:sub>
                <m:r>
                  <m:t>0</m:t>
                </m:r>
              </m:sub>
            </m:sSub>
            <m:r>
              <m:rPr>
                <m:sty m:val="p"/>
              </m:rPr>
              <m:t>−</m:t>
            </m:r>
            <m:r>
              <m:t>l</m:t>
            </m:r>
            <m:r>
              <m:t>o</m:t>
            </m:r>
            <m:r>
              <m:t>g</m:t>
            </m:r>
            <m:d>
              <m:dPr>
                <m:begChr m:val="("/>
                <m:endChr m:val=")"/>
                <m:sepChr m:val=""/>
                <m:grow/>
              </m:dPr>
              <m:e>
                <m:f>
                  <m:fPr>
                    <m:type m:val="bar"/>
                  </m:fPr>
                  <m:num>
                    <m:r>
                      <m:t>0.05</m:t>
                    </m:r>
                  </m:num>
                  <m:den>
                    <m:r>
                      <m:t>1</m:t>
                    </m:r>
                    <m:r>
                      <m:rPr>
                        <m:sty m:val="p"/>
                      </m:rPr>
                      <m:t>−</m:t>
                    </m:r>
                    <m:r>
                      <m:t>0.05</m:t>
                    </m:r>
                  </m:den>
                </m:f>
              </m:e>
            </m:d>
          </m:e>
        </m:d>
        <m:sSub>
          <m:e>
            <m:r>
              <m:t>β</m:t>
            </m:r>
          </m:e>
          <m:sub>
            <m:r>
              <m:t>2</m:t>
            </m:r>
          </m:sub>
        </m:sSub>
      </m:oMath>
      <w:r>
        <w:t xml:space="preserve">.</w:t>
      </w:r>
    </w:p>
    <w:bookmarkEnd w:id="25"/>
    <w:bookmarkStart w:id="26" w:name="references"/>
    <w:p>
      <w:pPr>
        <w:pStyle w:val="Heading2"/>
      </w:pPr>
      <w:r>
        <w:t xml:space="preserve">References</w:t>
      </w:r>
    </w:p>
    <w:p>
      <w:pPr>
        <w:pStyle w:val="FirstParagraph"/>
      </w:pPr>
      <w:r>
        <w:t xml:space="preserve">Michaelis J. &amp; Diekmann M.R. (2017) Biased niches – Species response curves and niche attributes from Huisman-Olff-Fresco models change with differing species prevalence and frequency.</w:t>
      </w:r>
      <w:r>
        <w:t xml:space="preserve"> </w:t>
      </w:r>
      <w:r>
        <w:rPr>
          <w:iCs/>
          <w:i/>
        </w:rPr>
        <w:t xml:space="preserve">PLOS ONE</w:t>
      </w:r>
      <w:r>
        <w:t xml:space="preserve">,</w:t>
      </w:r>
      <w:r>
        <w:t xml:space="preserve"> </w:t>
      </w:r>
      <w:r>
        <w:rPr>
          <w:bCs/>
          <w:b/>
        </w:rPr>
        <w:t xml:space="preserve">12</w:t>
      </w:r>
      <w:r>
        <w:t xml:space="preserve">, e0183152.</w:t>
      </w:r>
    </w:p>
    <w:bookmarkEnd w:id="26"/>
    <w:bookmarkEnd w:id="27"/>
    <w:bookmarkStart w:id="48" w:name="extended-results"/>
    <w:p>
      <w:pPr>
        <w:pStyle w:val="Heading1"/>
      </w:pPr>
      <w:r>
        <w:t xml:space="preserve">Extended results</w:t>
      </w:r>
    </w:p>
    <w:bookmarkStart w:id="31" w:name="X59f5a71db3b96f51732c6bc20a8e32ebaead0b3"/>
    <w:p>
      <w:pPr>
        <w:pStyle w:val="Heading2"/>
      </w:pPr>
      <w:r>
        <w:t xml:space="preserve">Estimates of species-environment relationships</w:t>
      </w:r>
    </w:p>
    <w:p>
      <w:pPr>
        <w:pStyle w:val="CaptionedFigure"/>
      </w:pPr>
      <w:r>
        <w:drawing>
          <wp:inline>
            <wp:extent cx="4495800" cy="3657600"/>
            <wp:effectExtent b="0" l="0" r="0" t="0"/>
            <wp:docPr descr="Species-environment relationships estimated by the three models for the 30 replications compared to the simulated relationship (green curve) for three covariate grain sizes." title="" id="29" name="Picture"/>
            <a:graphic>
              <a:graphicData uri="http://schemas.openxmlformats.org/drawingml/2006/picture">
                <pic:pic>
                  <pic:nvPicPr>
                    <pic:cNvPr descr="../results/img/figS6.pdf" id="30" name="Picture"/>
                    <pic:cNvPicPr>
                      <a:picLocks noChangeArrowheads="1" noChangeAspect="1"/>
                    </pic:cNvPicPr>
                  </pic:nvPicPr>
                  <pic:blipFill>
                    <a:blip r:embed="rId28"/>
                    <a:stretch>
                      <a:fillRect/>
                    </a:stretch>
                  </pic:blipFill>
                  <pic:spPr bwMode="auto">
                    <a:xfrm>
                      <a:off x="0" y="0"/>
                      <a:ext cx="4495800" cy="3657600"/>
                    </a:xfrm>
                    <a:prstGeom prst="rect">
                      <a:avLst/>
                    </a:prstGeom>
                    <a:noFill/>
                    <a:ln w="9525">
                      <a:noFill/>
                      <a:headEnd/>
                      <a:tailEnd/>
                    </a:ln>
                  </pic:spPr>
                </pic:pic>
              </a:graphicData>
            </a:graphic>
          </wp:inline>
        </w:drawing>
      </w:r>
    </w:p>
    <w:p>
      <w:pPr>
        <w:pStyle w:val="ImageCaption"/>
      </w:pPr>
      <w:r>
        <w:t xml:space="preserve">Species-environment relationships estimated by the three models for the 30 replications compared to the simulated relationship (green curve) for three covariate grain sizes.</w:t>
      </w:r>
    </w:p>
    <w:bookmarkEnd w:id="31"/>
    <w:bookmarkStart w:id="35" w:name="explanatory-performance"/>
    <w:p>
      <w:pPr>
        <w:pStyle w:val="Heading2"/>
      </w:pPr>
      <w:r>
        <w:t xml:space="preserve">Explanatory performance</w:t>
      </w:r>
    </w:p>
    <w:p>
      <w:pPr>
        <w:pStyle w:val="CaptionedFigure"/>
      </w:pPr>
      <w:r>
        <w:drawing>
          <wp:inline>
            <wp:extent cx="4495800" cy="4495800"/>
            <wp:effectExtent b="0" l="0" r="0" t="0"/>
            <wp:docPr descr="Explanatory performances of the three alternative models (BEM: Berkson-Error Model, GLM: Generalized Linear Model, spGLM: spatial GLM) fitted with environmental values at three grain sizes coarser than the ecological grain. Filled points represent mean performance metrics over the 30 simulated train datasets (shaded points) while vertical bars represent the associated standard deviations." title="" id="33" name="Picture"/>
            <a:graphic>
              <a:graphicData uri="http://schemas.openxmlformats.org/drawingml/2006/picture">
                <pic:pic>
                  <pic:nvPicPr>
                    <pic:cNvPr descr="../results/img/figureS2.pdf" id="34" name="Picture"/>
                    <pic:cNvPicPr>
                      <a:picLocks noChangeArrowheads="1" noChangeAspect="1"/>
                    </pic:cNvPicPr>
                  </pic:nvPicPr>
                  <pic:blipFill>
                    <a:blip r:embed="rId32"/>
                    <a:stretch>
                      <a:fillRect/>
                    </a:stretch>
                  </pic:blipFill>
                  <pic:spPr bwMode="auto">
                    <a:xfrm>
                      <a:off x="0" y="0"/>
                      <a:ext cx="4495800" cy="4495800"/>
                    </a:xfrm>
                    <a:prstGeom prst="rect">
                      <a:avLst/>
                    </a:prstGeom>
                    <a:noFill/>
                    <a:ln w="9525">
                      <a:noFill/>
                      <a:headEnd/>
                      <a:tailEnd/>
                    </a:ln>
                  </pic:spPr>
                </pic:pic>
              </a:graphicData>
            </a:graphic>
          </wp:inline>
        </w:drawing>
      </w:r>
    </w:p>
    <w:p>
      <w:pPr>
        <w:pStyle w:val="ImageCaption"/>
      </w:pPr>
      <w:r>
        <w:t xml:space="preserve">Explanatory performances of the three alternative models (BEM: Berkson-Error Model, GLM: Generalized Linear Model, spGLM: spatial GLM) fitted with environmental values at three grain sizes coarser than the ecological grain. Filled points represent mean performance metrics over the 30 simulated train datasets (shaded points) while vertical bars represent the associated standard deviations.</w:t>
      </w:r>
    </w:p>
    <w:bookmarkEnd w:id="35"/>
    <w:bookmarkStart w:id="39" w:name="X3a3e1a3ab0615c1786713f2663f82090e9f3212"/>
    <w:p>
      <w:pPr>
        <w:pStyle w:val="Heading2"/>
      </w:pPr>
      <w:r>
        <w:t xml:space="preserve">Predictive performance from environmental values at covariate grain.</w:t>
      </w:r>
    </w:p>
    <w:p>
      <w:pPr>
        <w:pStyle w:val="CaptionedFigure"/>
      </w:pPr>
      <w:r>
        <w:drawing>
          <wp:inline>
            <wp:extent cx="4495800" cy="5105400"/>
            <wp:effectExtent b="0" l="0" r="0" t="0"/>
            <wp:docPr descr="Evaluation of predictive performance of the three models fitted with area-to-point misaligned data with regards to their ability to predict species distribution at the ecological grain from environmental values at the covariate grain across three levels of environmental spatial heterogeneity (the three columns). Filled points represent mean performance metrics over the 30 simulated train datasets (shaded points) while vertical bars represent the associated standard deviations." title="" id="37" name="Picture"/>
            <a:graphic>
              <a:graphicData uri="http://schemas.openxmlformats.org/drawingml/2006/picture">
                <pic:pic>
                  <pic:nvPicPr>
                    <pic:cNvPr descr="../results/img/figureS3.pdf" id="38" name="Picture"/>
                    <pic:cNvPicPr>
                      <a:picLocks noChangeArrowheads="1" noChangeAspect="1"/>
                    </pic:cNvPicPr>
                  </pic:nvPicPr>
                  <pic:blipFill>
                    <a:blip r:embed="rId36"/>
                    <a:stretch>
                      <a:fillRect/>
                    </a:stretch>
                  </pic:blipFill>
                  <pic:spPr bwMode="auto">
                    <a:xfrm>
                      <a:off x="0" y="0"/>
                      <a:ext cx="4495800" cy="5105400"/>
                    </a:xfrm>
                    <a:prstGeom prst="rect">
                      <a:avLst/>
                    </a:prstGeom>
                    <a:noFill/>
                    <a:ln w="9525">
                      <a:noFill/>
                      <a:headEnd/>
                      <a:tailEnd/>
                    </a:ln>
                  </pic:spPr>
                </pic:pic>
              </a:graphicData>
            </a:graphic>
          </wp:inline>
        </w:drawing>
      </w:r>
    </w:p>
    <w:p>
      <w:pPr>
        <w:pStyle w:val="ImageCaption"/>
      </w:pPr>
      <w:r>
        <w:t xml:space="preserve">Evaluation of predictive performance of the three models fitted with area-to-point misaligned data with regards to their ability to predict species distribution at the ecological grain from environmental values at the covariate grain across three levels of environmental spatial heterogeneity (the three columns). Filled points represent mean performance metrics over the 30 simulated train datasets (shaded points) while vertical bars represent the associated standard deviations.</w:t>
      </w:r>
    </w:p>
    <w:bookmarkEnd w:id="39"/>
    <w:bookmarkStart w:id="43" w:name="X80587c7e9c84a72c9913ae0c00f6534a210f589"/>
    <w:p>
      <w:pPr>
        <w:pStyle w:val="Heading2"/>
      </w:pPr>
      <w:r>
        <w:t xml:space="preserve">Predictive performance from environmental values at ecological grain.</w:t>
      </w:r>
    </w:p>
    <w:p>
      <w:pPr>
        <w:pStyle w:val="CaptionedFigure"/>
      </w:pPr>
      <w:r>
        <w:drawing>
          <wp:inline>
            <wp:extent cx="4495800" cy="5105400"/>
            <wp:effectExtent b="0" l="0" r="0" t="0"/>
            <wp:docPr descr="Evaluation of predictive performance of the three models fitted with area-to-point misaligned data with regards to their ability to predict species distribution at the ecological grain from environmental values at the ecological grain across three levels of environmental spatial heterogeneity (the three columns). Filled points represent mean performance metrics over the 30 simulated train datasets (shaded points) while vertical bars represent the associated standard deviations." title="" id="41" name="Picture"/>
            <a:graphic>
              <a:graphicData uri="http://schemas.openxmlformats.org/drawingml/2006/picture">
                <pic:pic>
                  <pic:nvPicPr>
                    <pic:cNvPr descr="../results/img/figureS5.pdf" id="42" name="Picture"/>
                    <pic:cNvPicPr>
                      <a:picLocks noChangeArrowheads="1" noChangeAspect="1"/>
                    </pic:cNvPicPr>
                  </pic:nvPicPr>
                  <pic:blipFill>
                    <a:blip r:embed="rId40"/>
                    <a:stretch>
                      <a:fillRect/>
                    </a:stretch>
                  </pic:blipFill>
                  <pic:spPr bwMode="auto">
                    <a:xfrm>
                      <a:off x="0" y="0"/>
                      <a:ext cx="4495800" cy="5105400"/>
                    </a:xfrm>
                    <a:prstGeom prst="rect">
                      <a:avLst/>
                    </a:prstGeom>
                    <a:noFill/>
                    <a:ln w="9525">
                      <a:noFill/>
                      <a:headEnd/>
                      <a:tailEnd/>
                    </a:ln>
                  </pic:spPr>
                </pic:pic>
              </a:graphicData>
            </a:graphic>
          </wp:inline>
        </w:drawing>
      </w:r>
    </w:p>
    <w:p>
      <w:pPr>
        <w:pStyle w:val="ImageCaption"/>
      </w:pPr>
      <w:r>
        <w:t xml:space="preserve">Evaluation of predictive performance of the three models fitted with area-to-point misaligned data with regards to their ability to predict species distribution at the ecological grain from environmental values at the</w:t>
      </w:r>
      <w:r>
        <w:t xml:space="preserve"> </w:t>
      </w:r>
      <w:r>
        <w:rPr>
          <w:bCs/>
          <w:b/>
        </w:rPr>
        <w:t xml:space="preserve">ecological grain</w:t>
      </w:r>
      <w:r>
        <w:t xml:space="preserve"> </w:t>
      </w:r>
      <w:r>
        <w:t xml:space="preserve">across three levels of environmental spatial heterogeneity (the three columns). Filled points represent mean performance metrics over the 30 simulated train datasets (shaded points) while vertical bars represent the associated standard deviations.</w:t>
      </w:r>
    </w:p>
    <w:bookmarkEnd w:id="43"/>
    <w:bookmarkStart w:id="47" w:name="Xb3550881a3e1d00717180e27dbe8aad73161d91"/>
    <w:p>
      <w:pPr>
        <w:pStyle w:val="Heading2"/>
      </w:pPr>
      <w:r>
        <w:t xml:space="preserve">Loss of fine-grain heterogneity when coarsening environmental data.</w:t>
      </w:r>
    </w:p>
    <w:p>
      <w:pPr>
        <w:pStyle w:val="FirstParagraph"/>
      </w:pPr>
      <w:r>
        <w:t xml:space="preserve">For a given cell</w:t>
      </w:r>
      <w:r>
        <w:t xml:space="preserve"> </w:t>
      </w:r>
      <m:oMath>
        <m:r>
          <m:t>i</m:t>
        </m:r>
      </m:oMath>
      <w:r>
        <w:t xml:space="preserve"> </w:t>
      </w:r>
      <w:r>
        <w:t xml:space="preserve">we defined fine-grain heterogeneity (i.e. intra cell variability</w:t>
      </w:r>
      <w:r>
        <w:t xml:space="preserve"> </w:t>
      </w:r>
      <m:oMath>
        <m:sSubSup>
          <m:e>
            <m:r>
              <m:t>V</m:t>
            </m:r>
          </m:e>
          <m:sub>
            <m:r>
              <m:t>i</m:t>
            </m:r>
          </m:sub>
          <m:sup>
            <m:r>
              <m:t>i</m:t>
            </m:r>
            <m:r>
              <m:t>n</m:t>
            </m:r>
            <m:r>
              <m:t>t</m:t>
            </m:r>
            <m:r>
              <m:t>r</m:t>
            </m:r>
            <m:r>
              <m:t>a</m:t>
            </m:r>
          </m:sup>
        </m:sSubSup>
      </m:oMath>
      <w:r>
        <w:t xml:space="preserve">) as the variance in point-level environmental values</w:t>
      </w:r>
      <w:r>
        <w:t xml:space="preserve"> </w:t>
      </w:r>
      <m:oMath>
        <m:sSub>
          <m:e>
            <m:r>
              <m:t>X</m:t>
            </m:r>
          </m:e>
          <m:sub>
            <m:r>
              <m:t>j</m:t>
            </m:r>
            <m:d>
              <m:dPr>
                <m:begChr m:val="("/>
                <m:endChr m:val=")"/>
                <m:sepChr m:val=""/>
                <m:grow/>
              </m:dPr>
              <m:e>
                <m:r>
                  <m:t>i</m:t>
                </m:r>
              </m:e>
            </m:d>
          </m:sub>
        </m:sSub>
      </m:oMath>
      <w:r>
        <w:t xml:space="preserve"> </w:t>
      </w:r>
      <w:r>
        <w:t xml:space="preserve">within the cell:</w:t>
      </w:r>
    </w:p>
    <w:p>
      <w:pPr>
        <w:pStyle w:val="BodyText"/>
      </w:pPr>
      <m:oMathPara>
        <m:oMathParaPr>
          <m:jc m:val="center"/>
        </m:oMathParaPr>
        <m:oMath>
          <m:sSubSup>
            <m:e>
              <m:r>
                <m:t>V</m:t>
              </m:r>
            </m:e>
            <m:sub>
              <m:r>
                <m:t>i</m:t>
              </m:r>
            </m:sub>
            <m:sup>
              <m:r>
                <m:t>i</m:t>
              </m:r>
              <m:r>
                <m:t>n</m:t>
              </m:r>
              <m:r>
                <m:t>t</m:t>
              </m:r>
              <m:r>
                <m:t>r</m:t>
              </m:r>
              <m:r>
                <m:t>a</m:t>
              </m:r>
            </m:sup>
          </m:sSubSup>
          <m:r>
            <m:rPr>
              <m:sty m:val="p"/>
            </m:rPr>
            <m:t>=</m:t>
          </m:r>
          <m:f>
            <m:fPr>
              <m:type m:val="bar"/>
            </m:fPr>
            <m:num>
              <m:r>
                <m:t>1</m:t>
              </m:r>
            </m:num>
            <m:den>
              <m:sSub>
                <m:e>
                  <m:r>
                    <m:t>J</m:t>
                  </m:r>
                </m:e>
                <m:sub>
                  <m:r>
                    <m:t>i</m:t>
                  </m:r>
                </m:sub>
              </m:sSub>
              <m:r>
                <m:rPr>
                  <m:sty m:val="p"/>
                </m:rPr>
                <m:t>−</m:t>
              </m:r>
              <m:r>
                <m:t>1</m:t>
              </m:r>
            </m:den>
          </m:f>
          <m:nary>
            <m:naryPr>
              <m:chr m:val="∑"/>
              <m:limLoc m:val="undOvr"/>
              <m:subHide m:val="0"/>
              <m:supHide m:val="0"/>
            </m:naryPr>
            <m:sub>
              <m:r>
                <m:t>j</m:t>
              </m:r>
              <m:r>
                <m:rPr>
                  <m:sty m:val="p"/>
                </m:rPr>
                <m:t>=</m:t>
              </m:r>
              <m:r>
                <m:t>1</m:t>
              </m:r>
            </m:sub>
            <m:sup>
              <m:sSub>
                <m:e>
                  <m:r>
                    <m:t>J</m:t>
                  </m:r>
                </m:e>
                <m:sub>
                  <m:r>
                    <m:t>i</m:t>
                  </m:r>
                </m:sub>
              </m:sSub>
            </m:sup>
            <m:e>
              <m:sSup>
                <m:e>
                  <m:d>
                    <m:dPr>
                      <m:begChr m:val="("/>
                      <m:endChr m:val=")"/>
                      <m:sepChr m:val=""/>
                      <m:grow/>
                    </m:dPr>
                    <m:e>
                      <m:sSub>
                        <m:e>
                          <m:r>
                            <m:t>X</m:t>
                          </m:r>
                        </m:e>
                        <m:sub>
                          <m:r>
                            <m:t>j</m:t>
                          </m:r>
                          <m:d>
                            <m:dPr>
                              <m:begChr m:val="("/>
                              <m:endChr m:val=")"/>
                              <m:sepChr m:val=""/>
                              <m:grow/>
                            </m:dPr>
                            <m:e>
                              <m:r>
                                <m:t>i</m:t>
                              </m:r>
                            </m:e>
                          </m:d>
                        </m:sub>
                      </m:sSub>
                      <m:r>
                        <m:rPr>
                          <m:sty m:val="p"/>
                        </m:rPr>
                        <m:t>−</m:t>
                      </m:r>
                      <m:sSub>
                        <m:e>
                          <m:r>
                            <m:t>X</m:t>
                          </m:r>
                        </m:e>
                        <m:sub>
                          <m:r>
                            <m:t>i</m:t>
                          </m:r>
                        </m:sub>
                      </m:sSub>
                    </m:e>
                  </m:d>
                </m:e>
                <m:sup>
                  <m:r>
                    <m:t>2</m:t>
                  </m:r>
                </m:sup>
              </m:sSup>
            </m:e>
          </m:nary>
        </m:oMath>
      </m:oMathPara>
    </w:p>
    <w:p>
      <w:pPr>
        <w:pStyle w:val="FirstParagraph"/>
      </w:pPr>
      <w:r>
        <w:t xml:space="preserve">with</w:t>
      </w:r>
      <w:r>
        <w:t xml:space="preserve"> </w:t>
      </w:r>
      <m:oMath>
        <m:sSub>
          <m:e>
            <m:r>
              <m:t>J</m:t>
            </m:r>
          </m:e>
          <m:sub>
            <m:r>
              <m:t>i</m:t>
            </m:r>
          </m:sub>
        </m:sSub>
      </m:oMath>
      <w:r>
        <w:t xml:space="preserve"> </w:t>
      </w:r>
      <w:r>
        <w:t xml:space="preserve">the number of points within cell</w:t>
      </w:r>
      <w:r>
        <w:t xml:space="preserve"> </w:t>
      </w:r>
      <m:oMath>
        <m:r>
          <m:t>i</m:t>
        </m:r>
      </m:oMath>
      <w:r>
        <w:t xml:space="preserve"> </w:t>
      </w:r>
      <w:r>
        <w:t xml:space="preserve">and</w:t>
      </w:r>
      <w:r>
        <w:t xml:space="preserve"> </w:t>
      </w:r>
      <m:oMath>
        <m:sSub>
          <m:e>
            <m:r>
              <m:t>X</m:t>
            </m:r>
          </m:e>
          <m:sub>
            <m:r>
              <m:t>i</m:t>
            </m:r>
          </m:sub>
        </m:sSub>
      </m:oMath>
      <w:r>
        <w:t xml:space="preserve"> </w:t>
      </w:r>
      <w:r>
        <w:t xml:space="preserve">the environmental value of cell</w:t>
      </w:r>
      <w:r>
        <w:t xml:space="preserve"> </w:t>
      </w:r>
      <m:oMath>
        <m:r>
          <m:t>i</m:t>
        </m:r>
      </m:oMath>
      <w:r>
        <w:t xml:space="preserve">. To summarise it over the study area, we compute the mean:</w:t>
      </w:r>
    </w:p>
    <w:p>
      <w:pPr>
        <w:pStyle w:val="BodyText"/>
      </w:pPr>
      <m:oMathPara>
        <m:oMathParaPr>
          <m:jc m:val="center"/>
        </m:oMathParaPr>
        <m:oMath>
          <m:bar>
            <m:barPr>
              <m:pos m:val="top"/>
            </m:barPr>
            <m:e>
              <m:sSubSup>
                <m:e>
                  <m:r>
                    <m:t>V</m:t>
                  </m:r>
                </m:e>
                <m:sub>
                  <m:r>
                    <m:t>i</m:t>
                  </m:r>
                </m:sub>
                <m:sup>
                  <m:r>
                    <m:t>i</m:t>
                  </m:r>
                  <m:r>
                    <m:t>n</m:t>
                  </m:r>
                  <m:r>
                    <m:t>t</m:t>
                  </m:r>
                  <m:r>
                    <m:t>r</m:t>
                  </m:r>
                  <m:r>
                    <m:t>a</m:t>
                  </m:r>
                </m:sup>
              </m:sSubSup>
            </m:e>
          </m:bar>
          <m:r>
            <m:rPr>
              <m:sty m:val="p"/>
            </m:rPr>
            <m:t>=</m:t>
          </m:r>
          <m:f>
            <m:fPr>
              <m:type m:val="bar"/>
            </m:fPr>
            <m:num>
              <m:r>
                <m:t>1</m:t>
              </m:r>
            </m:num>
            <m:den>
              <m:r>
                <m:t>N</m:t>
              </m:r>
            </m:den>
          </m:f>
          <m:nary>
            <m:naryPr>
              <m:chr m:val="∑"/>
              <m:limLoc m:val="undOvr"/>
              <m:subHide m:val="0"/>
              <m:supHide m:val="0"/>
            </m:naryPr>
            <m:sub>
              <m:r>
                <m:t>i</m:t>
              </m:r>
            </m:sub>
            <m:sup>
              <m:r>
                <m:t>N</m:t>
              </m:r>
            </m:sup>
            <m:e>
              <m:sSubSup>
                <m:e>
                  <m:r>
                    <m:t>V</m:t>
                  </m:r>
                </m:e>
                <m:sub>
                  <m:r>
                    <m:t>i</m:t>
                  </m:r>
                </m:sub>
                <m:sup>
                  <m:r>
                    <m:t>i</m:t>
                  </m:r>
                  <m:r>
                    <m:t>n</m:t>
                  </m:r>
                  <m:r>
                    <m:t>t</m:t>
                  </m:r>
                  <m:r>
                    <m:t>r</m:t>
                  </m:r>
                  <m:r>
                    <m:t>a</m:t>
                  </m:r>
                </m:sup>
              </m:sSubSup>
            </m:e>
          </m:nary>
        </m:oMath>
      </m:oMathPara>
    </w:p>
    <w:p>
      <w:pPr>
        <w:pStyle w:val="FirstParagraph"/>
      </w:pPr>
      <w:r>
        <w:t xml:space="preserve">with</w:t>
      </w:r>
      <w:r>
        <w:t xml:space="preserve"> </w:t>
      </w:r>
      <m:oMath>
        <m:r>
          <m:t>N</m:t>
        </m:r>
      </m:oMath>
      <w:r>
        <w:t xml:space="preserve"> </w:t>
      </w:r>
      <w:r>
        <w:t xml:space="preserve">the number of cell in the study area. Finally to visualise the loss of fine-grain heterogeneity we plot the evolution of</w:t>
      </w:r>
      <w:r>
        <w:t xml:space="preserve"> </w:t>
      </w:r>
      <m:oMath>
        <m:r>
          <m:t>1</m:t>
        </m:r>
        <m:r>
          <m:rPr>
            <m:sty m:val="p"/>
          </m:rPr>
          <m:t>−</m:t>
        </m:r>
        <m:bar>
          <m:barPr>
            <m:pos m:val="top"/>
          </m:barPr>
          <m:e>
            <m:sSubSup>
              <m:e>
                <m:r>
                  <m:t>V</m:t>
                </m:r>
              </m:e>
              <m:sub>
                <m:r>
                  <m:t>i</m:t>
                </m:r>
              </m:sub>
              <m:sup>
                <m:r>
                  <m:t>i</m:t>
                </m:r>
                <m:r>
                  <m:t>n</m:t>
                </m:r>
                <m:r>
                  <m:t>t</m:t>
                </m:r>
                <m:r>
                  <m:t>r</m:t>
                </m:r>
                <m:r>
                  <m:t>a</m:t>
                </m:r>
              </m:sup>
            </m:sSubSup>
          </m:e>
        </m:bar>
      </m:oMath>
      <w:r>
        <w:t xml:space="preserve"> </w:t>
      </w:r>
      <w:r>
        <w:t xml:space="preserve">with the increase of the grain size.</w:t>
      </w:r>
    </w:p>
    <w:p>
      <w:pPr>
        <w:pStyle w:val="BodyText"/>
      </w:pPr>
      <w:r>
        <w:drawing>
          <wp:inline>
            <wp:extent cx="5334000" cy="4667250"/>
            <wp:effectExtent b="0" l="0" r="0" t="0"/>
            <wp:docPr descr="" title="" id="45" name="Picture"/>
            <a:graphic>
              <a:graphicData uri="http://schemas.openxmlformats.org/drawingml/2006/picture">
                <pic:pic>
                  <pic:nvPicPr>
                    <pic:cNvPr descr="../results/img/figS7.pdf" id="46" name="Picture"/>
                    <pic:cNvPicPr>
                      <a:picLocks noChangeArrowheads="1" noChangeAspect="1"/>
                    </pic:cNvPicPr>
                  </pic:nvPicPr>
                  <pic:blipFill>
                    <a:blip r:embed="rId44"/>
                    <a:stretch>
                      <a:fillRect/>
                    </a:stretch>
                  </pic:blipFill>
                  <pic:spPr bwMode="auto">
                    <a:xfrm>
                      <a:off x="0" y="0"/>
                      <a:ext cx="5334000" cy="4667250"/>
                    </a:xfrm>
                    <a:prstGeom prst="rect">
                      <a:avLst/>
                    </a:prstGeom>
                    <a:noFill/>
                    <a:ln w="9525">
                      <a:noFill/>
                      <a:headEnd/>
                      <a:tailEnd/>
                    </a:ln>
                  </pic:spPr>
                </pic:pic>
              </a:graphicData>
            </a:graphic>
          </wp:inline>
        </w:drawing>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8" Target="media/rId28.pdf" /><Relationship Type="http://schemas.openxmlformats.org/officeDocument/2006/relationships/image" Id="rId44" Target="media/rId44.pdf" /><Relationship Type="http://schemas.openxmlformats.org/officeDocument/2006/relationships/image" Id="rId32" Target="media/rId32.pdf" /><Relationship Type="http://schemas.openxmlformats.org/officeDocument/2006/relationships/image" Id="rId36" Target="media/rId36.pdf" /><Relationship Type="http://schemas.openxmlformats.org/officeDocument/2006/relationships/image" Id="rId40" Target="media/rId40.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dc:title>
  <dc:creator/>
  <cp:keywords/>
  <dcterms:created xsi:type="dcterms:W3CDTF">2023-08-11T08:38:51Z</dcterms:created>
  <dcterms:modified xsi:type="dcterms:W3CDTF">2023-08-11T08:38:51Z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