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Harnessing the Horse</w:t>
      </w:r>
    </w:p>
    <w:p>
      <w:pPr>
        <w:pStyle w:val="Subtitle"/>
        <w:jc w:val="center"/>
      </w:pPr>
      <w:r>
        <w:t>Reader Quick Start</w:t>
      </w:r>
    </w:p>
    <w:p>
      <w:pPr>
        <w:spacing w:before="1440" w:after="1440"/>
        <w:ind w:left="979" w:right="979"/>
        <w:jc w:val="center"/>
      </w:pPr>
      <w:r>
        <w:rPr>
          <w:b/>
          <w:color w:val="11263D"/>
          <w:sz w:val="28"/>
        </w:rPr>
        <w:t>Move from a request to an evidence-backed SHIP, REVISE, or STOP decision - with scope, gates, evidence, and human judgment intact.</w:t>
      </w:r>
    </w:p>
    <w:p>
      <w:pPr>
        <w:jc w:val="center"/>
      </w:pPr>
      <w:r>
        <w:rPr>
          <w:color w:val="607384"/>
        </w:rPr>
        <w:t>John Briggs</w:t>
        <w:br/>
        <w:t>Companion release v2.1.2 | August 29, 2026</w:t>
      </w:r>
    </w:p>
    <w:p>
      <w:r>
        <w:br w:type="page"/>
      </w:r>
    </w:p>
    <w:p>
      <w:pPr>
        <w:pStyle w:val="Heading1"/>
      </w:pPr>
      <w:r>
        <w:t>Your 30-Minute Orientation</w:t>
      </w:r>
    </w:p>
    <w:p>
      <w:pPr>
        <w:spacing w:after="160"/>
      </w:pPr>
      <w:r>
        <w:rPr>
          <w:i/>
          <w:color w:val="607384"/>
        </w:rPr>
        <w:t>Do not browse everything. Build a mental map, choose one task, and leave with a next action.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0-5 min: </w:t>
      </w:r>
      <w:r>
        <w:t>Read START-HERE.md and choose the governed-session path.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5-10 min: </w:t>
      </w:r>
      <w:r>
        <w:t>Scan the Twelve Standards quick reference. Notice which controls are blocking, asynchronous, or advisory.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10-15 min: </w:t>
      </w:r>
      <w:r>
        <w:t>Read the Complete Session Loop. Identify the artifact produced at each transition.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15-22 min: </w:t>
      </w:r>
      <w:r>
        <w:t>Open the fictional worked example. Follow its Work Order, SPEC, DESIGN, generation prompt, implementation notes, review, and learning record.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22-27 min: </w:t>
      </w:r>
      <w:r>
        <w:t>Choose one prompt and inspect its expected output in prompts/manifest.json.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27-30 min: </w:t>
      </w:r>
      <w:r>
        <w:t>Pick one low-risk repository task and write its Work Order. Stop before generation if acceptance criteria cannot be verified.</w:t>
      </w:r>
    </w:p>
    <w:p>
      <w:pPr>
        <w:shd w:fill="FFF3E8"/>
        <w:spacing w:before="100" w:after="0"/>
        <w:ind w:left="173" w:right="173"/>
      </w:pPr>
      <w:r>
        <w:rPr>
          <w:b/>
          <w:color w:val="11263D"/>
          <w:sz w:val="19"/>
        </w:rPr>
        <w:t>Success is not reading every asset. Success is knowing which artifact to use next and what evidence will let a human approve the change.</w:t>
      </w:r>
    </w:p>
    <w:p>
      <w:r>
        <w:br w:type="page"/>
      </w:r>
    </w:p>
    <w:p>
      <w:pPr>
        <w:pStyle w:val="Heading1"/>
      </w:pPr>
      <w:r>
        <w:t>One Governed Agent Session</w:t>
      </w:r>
    </w:p>
    <w:p>
      <w:pPr>
        <w:spacing w:after="160"/>
      </w:pPr>
      <w:r>
        <w:rPr>
          <w:i/>
          <w:color w:val="607384"/>
        </w:rPr>
        <w:t>The loop turns model output into an engineering decision trail.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1. Orient: </w:t>
      </w:r>
      <w:r>
        <w:t>Load project rules, permissions, architecture, and the relevant source.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2. Contract: </w:t>
      </w:r>
      <w:r>
        <w:t>Write the Work Order and verifiable acceptance criteria before code generation.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3. Design: </w:t>
      </w:r>
      <w:r>
        <w:t>Define interfaces, blast radius, risks, and rollback expectations.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4. Generate: </w:t>
      </w:r>
      <w:r>
        <w:t>Give the agent a bounded contract and require explicit assumptions and verification markers.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5. Falsify: </w:t>
      </w:r>
      <w:r>
        <w:t>Run automated gates, then use a fresh review pass to try to disprove correctness.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6. Decide and learn: </w:t>
      </w:r>
      <w:r>
        <w:t>A human records SHIP, REVISE, or STOP; durable lessons update project memory.</w:t>
      </w:r>
    </w:p>
    <w:p>
      <w:pPr>
        <w:pStyle w:val="ListBullet"/>
        <w:spacing w:after="30"/>
      </w:pPr>
      <w:r>
        <w:t>Before generation: the contract, exclusions, risks, and required evidence are visible.</w:t>
      </w:r>
    </w:p>
    <w:p>
      <w:pPr>
        <w:pStyle w:val="ListBullet"/>
        <w:spacing w:after="30"/>
      </w:pPr>
      <w:r>
        <w:t>Before merge: automated results and an independent falsification review are attached.</w:t>
      </w:r>
    </w:p>
    <w:p>
      <w:pPr>
        <w:pStyle w:val="ListBullet"/>
        <w:spacing w:after="30"/>
      </w:pPr>
      <w:r>
        <w:t>After the decision: implementation notes and durable learning preserve why the result can be trusted.</w:t>
      </w:r>
    </w:p>
    <w:p>
      <w:pPr>
        <w:shd w:fill="FFF3E8"/>
        <w:spacing w:before="100" w:after="0"/>
        <w:ind w:left="173" w:right="173"/>
      </w:pPr>
      <w:r>
        <w:rPr>
          <w:b/>
          <w:color w:val="11263D"/>
          <w:sz w:val="19"/>
        </w:rPr>
        <w:t>Human judgment is a control surface, not ceremonial approval. Consequential ambiguity returns to a named owner.</w:t>
      </w:r>
    </w:p>
    <w:p>
      <w:r>
        <w:br w:type="page"/>
      </w:r>
    </w:p>
    <w:p>
      <w:pPr>
        <w:pStyle w:val="Heading1"/>
      </w:pPr>
      <w:r>
        <w:t>From a Governed Loop Toward a Factory</w:t>
      </w:r>
    </w:p>
    <w:p>
      <w:pPr>
        <w:spacing w:after="160"/>
      </w:pPr>
      <w:r>
        <w:rPr>
          <w:i/>
          <w:color w:val="607384"/>
        </w:rPr>
        <w:t>Book 2 establishes one trustworthy delivery loop. Book 3 takes up durable accountability across teams and 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 title="Governed AI software factory overview" descr="A layered software delivery system in which bounded intake enters an accountable delivery arc, independent evidence supports human decisions, and verified learning improves later wo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lin-factory-architecture-prem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30"/>
      </w:pPr>
      <w:r>
        <w:t>Intake becomes a bounded Work Order before agents act.</w:t>
      </w:r>
    </w:p>
    <w:p>
      <w:pPr>
        <w:pStyle w:val="ListBullet"/>
        <w:spacing w:after="30"/>
      </w:pPr>
      <w:r>
        <w:t>Preflight verifies context, permissions, risk, and readiness.</w:t>
      </w:r>
    </w:p>
    <w:p>
      <w:pPr>
        <w:pStyle w:val="ListBullet"/>
        <w:spacing w:after="30"/>
      </w:pPr>
      <w:r>
        <w:t>EXPRESS provides a fast path only when evidence supports the classification.</w:t>
      </w:r>
    </w:p>
    <w:p>
      <w:pPr>
        <w:pStyle w:val="ListBullet"/>
        <w:spacing w:after="30"/>
      </w:pPr>
      <w:r>
        <w:t>Generation and verification remain separate responsibilities.</w:t>
      </w:r>
    </w:p>
    <w:p>
      <w:pPr>
        <w:pStyle w:val="ListBullet"/>
        <w:spacing w:after="30"/>
      </w:pPr>
      <w:r>
        <w:t>Quality gates produce evidence; humans retain consequential decisions.</w:t>
      </w:r>
    </w:p>
    <w:p>
      <w:pPr>
        <w:pStyle w:val="ListBullet"/>
        <w:spacing w:after="30"/>
      </w:pPr>
      <w:r>
        <w:t>Learning improves durable context without permitting uncontrolled self-modification.</w:t>
      </w:r>
    </w:p>
    <w:p>
      <w:pPr>
        <w:shd w:fill="FFF3E8"/>
        <w:spacing w:before="100" w:after="0"/>
        <w:ind w:left="173" w:right="173"/>
      </w:pPr>
      <w:r>
        <w:rPr>
          <w:b/>
          <w:color w:val="11263D"/>
          <w:sz w:val="19"/>
        </w:rPr>
        <w:t>Public diagrams teach lifecycle, gates, memory, and judgment. Exact filenames, inventories, backend priorities, database internals, and deployment topology remain private.</w:t>
      </w:r>
    </w:p>
    <w:p>
      <w:r>
        <w:br w:type="page"/>
      </w:r>
    </w:p>
    <w:p>
      <w:pPr>
        <w:pStyle w:val="Heading1"/>
      </w:pPr>
      <w:r>
        <w:t>Choose the Smallest Useful Artifact</w:t>
      </w:r>
    </w:p>
    <w:p>
      <w:pPr>
        <w:spacing w:after="160"/>
      </w:pPr>
      <w:r>
        <w:rPr>
          <w:i/>
          <w:color w:val="607384"/>
        </w:rPr>
        <w:t>Start at the decision you need to make, not at the directory tree.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11263D"/>
          </w:tcPr>
          <w:p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11263D"/>
          </w:tcPr>
          <w:p>
            <w:r>
              <w:rPr>
                <w:b/>
                <w:color w:val="FFFFFF"/>
                <w:sz w:val="17"/>
              </w:rPr>
              <w:t>Start with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11263D"/>
          </w:tcPr>
          <w:p>
            <w:r>
              <w:rPr>
                <w:b/>
                <w:color w:val="FFFFFF"/>
                <w:sz w:val="17"/>
              </w:rPr>
              <w:t>Evidence of completion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Scope a change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Work Order + SPEC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Testable acceptance criteria and explicit exclusions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Generate safely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Structured prompt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Bounded output with assumptions and verification markers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Challenge a result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Disprove-only review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Concrete counterexamples or an evidence-backed pass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Handle a failed gate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Escalation protocol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Named owner, options, decision, and audit trail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Bootstrap a governed loop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Delivery-loop workbook + worked example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FFFFF"/>
          </w:tcPr>
          <w:p>
            <w:r>
              <w:rPr>
                <w:b w:val="0"/>
                <w:color w:val="243447"/>
                <w:sz w:val="16"/>
              </w:rPr>
              <w:t>One end-to-end governed task, not an orchestration platform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Teach the lifecycle</w:t>
            </w:r>
          </w:p>
        </w:tc>
        <w:tc>
          <w:tcPr>
            <w:tcW w:type="dxa" w:w="241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Teaching panels + study guides</w:t>
            </w:r>
          </w:p>
        </w:tc>
        <w:tc>
          <w:tcPr>
            <w:tcW w:type="dxa" w:w="610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3F6F8"/>
          </w:tcPr>
          <w:p>
            <w:r>
              <w:rPr>
                <w:b w:val="0"/>
                <w:color w:val="243447"/>
                <w:sz w:val="16"/>
              </w:rPr>
              <w:t>A learner can explain where gates and humans intervene</w:t>
            </w:r>
          </w:p>
        </w:tc>
      </w:tr>
    </w:tbl>
    <w:p>
      <w:pPr>
        <w:shd w:fill="FFF3E8"/>
        <w:spacing w:before="100" w:after="0"/>
        <w:ind w:left="173" w:right="173"/>
      </w:pPr>
      <w:r>
        <w:rPr>
          <w:b/>
          <w:color w:val="11263D"/>
          <w:sz w:val="19"/>
        </w:rPr>
        <w:t>Copy the pattern, not the fictional domain. Replace every project fact, permission, threshold, and risk classification with evidence from your environment.</w:t>
      </w:r>
    </w:p>
    <w:p>
      <w:r>
        <w:br w:type="page"/>
      </w:r>
    </w:p>
    <w:p>
      <w:pPr>
        <w:pStyle w:val="Heading1"/>
      </w:pPr>
      <w:r>
        <w:t>A Safe 30-Day Adoption Sequence</w:t>
      </w:r>
    </w:p>
    <w:p>
      <w:pPr>
        <w:spacing w:after="160"/>
      </w:pPr>
      <w:r>
        <w:rPr>
          <w:i/>
          <w:color w:val="607384"/>
        </w:rPr>
        <w:t>Earn autonomy through evidence. Do not begin with a fleet.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Week 1 - Baseline: </w:t>
      </w:r>
      <w:r>
        <w:t>Choose one repository and low-risk task class. Record current lead time, rework, defects, and review load.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Week 2 - Govern: </w:t>
      </w:r>
      <w:r>
        <w:t>Add context, Work Orders, acceptance criteria, and existing CI gates. Run the session loop manually.</w:t>
      </w:r>
    </w:p>
    <w:p>
      <w:pPr>
        <w:shd w:fill="EAF4F3"/>
        <w:spacing w:after="40"/>
        <w:ind w:left="144" w:right="144"/>
      </w:pPr>
      <w:r>
        <w:rPr>
          <w:b/>
          <w:color w:val="168C8C"/>
        </w:rPr>
        <w:t xml:space="preserve">Week 3 - Falsify: </w:t>
      </w:r>
      <w:r>
        <w:t>Separate generation from review, capture escaped defects and false confidence, and tighten the weakest artifact.</w:t>
      </w:r>
    </w:p>
    <w:p>
      <w:pPr>
        <w:shd w:fill="F3F6F8"/>
        <w:spacing w:after="40"/>
        <w:ind w:left="144" w:right="144"/>
      </w:pPr>
      <w:r>
        <w:rPr>
          <w:b/>
          <w:color w:val="168C8C"/>
        </w:rPr>
        <w:t xml:space="preserve">Week 4 - Decide: </w:t>
      </w:r>
      <w:r>
        <w:t>Compare against baseline. Expand only if quality, control, and team comprehension improved together.</w:t>
      </w:r>
    </w:p>
    <w:p>
      <w:pPr>
        <w:pStyle w:val="ListBullet"/>
        <w:spacing w:after="30"/>
      </w:pPr>
      <w:r>
        <w:t>Stop if the team cannot explain why a gate exists.</w:t>
      </w:r>
    </w:p>
    <w:p>
      <w:pPr>
        <w:pStyle w:val="ListBullet"/>
        <w:spacing w:after="30"/>
      </w:pPr>
      <w:r>
        <w:t>Stop if approval lacks inspectable evidence.</w:t>
      </w:r>
    </w:p>
    <w:p>
      <w:pPr>
        <w:pStyle w:val="ListBullet"/>
        <w:spacing w:after="30"/>
      </w:pPr>
      <w:r>
        <w:t>Stop if private data or production authority exceeds the task's need.</w:t>
      </w:r>
    </w:p>
    <w:p>
      <w:pPr>
        <w:pStyle w:val="ListBullet"/>
        <w:spacing w:after="30"/>
      </w:pPr>
      <w:r>
        <w:t>Stop if speed rises while rework, incidents, or reviewer distrust also rises.</w:t>
      </w:r>
    </w:p>
    <w:p>
      <w:pPr>
        <w:shd w:fill="FFF3E8"/>
        <w:spacing w:before="100" w:after="0"/>
        <w:ind w:left="173" w:right="173"/>
      </w:pPr>
      <w:r>
        <w:rPr>
          <w:b/>
          <w:color w:val="11263D"/>
          <w:sz w:val="19"/>
        </w:rPr>
        <w:t>The goal is compounding engineering discipline: faster delivery because the system makes good decisions repeatable, visible, and correctable.</w:t>
      </w:r>
    </w:p>
    <w:p>
      <w:pPr>
        <w:pStyle w:val="Heading2"/>
      </w:pPr>
      <w:r>
        <w:t>Continue with the stable resources</w:t>
      </w:r>
    </w:p>
    <w:p>
      <w:hyperlink r:id="rId12">
        <w:r>
          <w:rPr>
            <w:color w:val="168C8C"/>
            <w:u w:val="single"/>
          </w:rPr>
          <w:t>Companion repository</w:t>
        </w:r>
      </w:hyperlink>
      <w:r>
        <w:rPr>
          <w:color w:val="607384"/>
          <w:sz w:val="16"/>
        </w:rPr>
        <w:t xml:space="preserve"> - https://github.com/bmozi/harnessing-the-horse-companion</w:t>
      </w:r>
    </w:p>
    <w:p>
      <w:hyperlink r:id="rId13">
        <w:r>
          <w:rPr>
            <w:color w:val="168C8C"/>
            <w:u w:val="single"/>
          </w:rPr>
          <w:t>Stable v2.1.2 release</w:t>
        </w:r>
      </w:hyperlink>
      <w:r>
        <w:rPr>
          <w:color w:val="607384"/>
          <w:sz w:val="16"/>
        </w:rPr>
        <w:t xml:space="preserve"> - https://github.com/bmozi/harnessing-the-horse-companion/releases/tag/v2.1.2</w:t>
      </w:r>
    </w:p>
    <w:p>
      <w:hyperlink r:id="rId14">
        <w:r>
          <w:rPr>
            <w:color w:val="168C8C"/>
            <w:u w:val="single"/>
          </w:rPr>
          <w:t>Start Here</w:t>
        </w:r>
      </w:hyperlink>
      <w:r>
        <w:rPr>
          <w:color w:val="607384"/>
          <w:sz w:val="16"/>
        </w:rPr>
        <w:t xml:space="preserve"> - https://github.com/bmozi/harnessing-the-horse-companion/blob/v2.1.2/START-HERE.md</w:t>
      </w:r>
    </w:p>
    <w:p>
      <w:hyperlink r:id="rId15">
        <w:r>
          <w:rPr>
            <w:color w:val="168C8C"/>
            <w:u w:val="single"/>
          </w:rPr>
          <w:t>Errata</w:t>
        </w:r>
      </w:hyperlink>
      <w:r>
        <w:rPr>
          <w:color w:val="607384"/>
          <w:sz w:val="16"/>
        </w:rPr>
        <w:t xml:space="preserve"> - https://github.com/bmozi/harnessing-the-horse-companion/blob/v2.1.2/ERRATA.md</w:t>
      </w:r>
    </w:p>
    <w:p>
      <w:r>
        <w:rPr>
          <w:color w:val="607384"/>
          <w:sz w:val="16"/>
        </w:rPr>
        <w:t>Written content © 2026 John Briggs. Licensed under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384"/>
        <w:sz w:val="15"/>
      </w:rPr>
      <w:t xml:space="preserve">Companion v2.1.2   |   </w:t>
    </w:r>
    <w:r>
      <w:rPr>
        <w:color w:val="607384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7384"/>
        <w:sz w:val="15"/>
      </w:rPr>
      <w:t>HARNESSING THE HORSE  |  READER QUICK START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126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68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Liberation Sans" w:hAnsi="Liberation Sans"/>
      <w:b/>
      <w:color w:val="11263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68C8C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bmozi/harnessing-the-horse-companion" TargetMode="External"/><Relationship Id="rId13" Type="http://schemas.openxmlformats.org/officeDocument/2006/relationships/hyperlink" Target="https://github.com/bmozi/harnessing-the-horse-companion/releases/tag/v2.1.2" TargetMode="External"/><Relationship Id="rId14" Type="http://schemas.openxmlformats.org/officeDocument/2006/relationships/hyperlink" Target="https://github.com/bmozi/harnessing-the-horse-companion/blob/v2.1.2/START-HERE.md" TargetMode="External"/><Relationship Id="rId15" Type="http://schemas.openxmlformats.org/officeDocument/2006/relationships/hyperlink" Target="https://github.com/bmozi/harnessing-the-horse-companion/blob/v2.1.2/ERRAT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Harnessing the Horse - Reader Quick Start</dc:title>
  <dc:subject>A practical orientation to the Harnessing the Horse companion repository.</dc:subject>
  <dc:creator>John Briggs</dc:creator>
  <cp:keywords>AI engineering, agentic development, accountable software delivery, reader guide</cp:keywords>
  <dc:description>Accessible reader edition, companion release v2.1.2.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