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9437C2" w14:textId="77777777" w:rsidR="00A81263" w:rsidRDefault="00A81263" w:rsidP="00A26605">
      <w:pPr>
        <w:pStyle w:val="Title"/>
        <w:spacing w:after="0"/>
        <w:rPr>
          <w:rFonts w:ascii="Times New Roman" w:hAnsi="Times New Roman" w:cs="Times New Roman"/>
          <w:iCs/>
          <w:sz w:val="28"/>
          <w:szCs w:val="28"/>
        </w:rPr>
      </w:pPr>
    </w:p>
    <w:p w14:paraId="0C2C14A7" w14:textId="77777777" w:rsidR="00A81263" w:rsidRDefault="00A81263" w:rsidP="00A26605">
      <w:pPr>
        <w:pStyle w:val="Title"/>
        <w:spacing w:after="0"/>
        <w:rPr>
          <w:rFonts w:ascii="Times New Roman" w:hAnsi="Times New Roman" w:cs="Times New Roman"/>
          <w:iCs/>
          <w:sz w:val="28"/>
          <w:szCs w:val="28"/>
        </w:rPr>
      </w:pPr>
    </w:p>
    <w:p w14:paraId="1220F1DC" w14:textId="77777777" w:rsidR="00A81263" w:rsidRDefault="00A81263" w:rsidP="00A26605">
      <w:pPr>
        <w:pStyle w:val="Title"/>
        <w:spacing w:after="0"/>
        <w:rPr>
          <w:rFonts w:ascii="Times New Roman" w:hAnsi="Times New Roman" w:cs="Times New Roman"/>
          <w:iCs/>
          <w:sz w:val="28"/>
          <w:szCs w:val="28"/>
        </w:rPr>
      </w:pPr>
    </w:p>
    <w:p w14:paraId="14EB3853" w14:textId="77777777" w:rsidR="00A81263" w:rsidRDefault="00A81263" w:rsidP="00A26605">
      <w:pPr>
        <w:pStyle w:val="Title"/>
        <w:spacing w:after="0"/>
        <w:rPr>
          <w:rFonts w:ascii="Times New Roman" w:hAnsi="Times New Roman" w:cs="Times New Roman"/>
          <w:iCs/>
          <w:sz w:val="28"/>
          <w:szCs w:val="28"/>
        </w:rPr>
      </w:pPr>
    </w:p>
    <w:p w14:paraId="6DC43880" w14:textId="0D570DE7" w:rsidR="00041369" w:rsidRPr="00A81263" w:rsidRDefault="00BD702E" w:rsidP="00BD702E">
      <w:pPr>
        <w:pStyle w:val="Title"/>
        <w:spacing w:after="0"/>
        <w:jc w:val="left"/>
        <w:rPr>
          <w:rFonts w:ascii="Times New Roman" w:hAnsi="Times New Roman" w:cs="Times New Roman"/>
          <w:iCs/>
          <w:sz w:val="28"/>
          <w:szCs w:val="28"/>
        </w:rPr>
      </w:pPr>
      <w:r w:rsidRPr="00A81263">
        <w:rPr>
          <w:rFonts w:ascii="Times New Roman" w:hAnsi="Times New Roman" w:cs="Times New Roman"/>
          <w:iCs/>
          <w:sz w:val="28"/>
          <w:szCs w:val="28"/>
        </w:rPr>
        <w:t xml:space="preserve">The Relationship </w:t>
      </w:r>
      <w:r>
        <w:rPr>
          <w:rFonts w:ascii="Times New Roman" w:hAnsi="Times New Roman" w:cs="Times New Roman"/>
          <w:iCs/>
          <w:sz w:val="28"/>
          <w:szCs w:val="28"/>
        </w:rPr>
        <w:t>b</w:t>
      </w:r>
      <w:r w:rsidRPr="00A81263">
        <w:rPr>
          <w:rFonts w:ascii="Times New Roman" w:hAnsi="Times New Roman" w:cs="Times New Roman"/>
          <w:iCs/>
          <w:sz w:val="28"/>
          <w:szCs w:val="28"/>
        </w:rPr>
        <w:t xml:space="preserve">etween Actuarial Inputs </w:t>
      </w:r>
      <w:r>
        <w:rPr>
          <w:rFonts w:ascii="Times New Roman" w:hAnsi="Times New Roman" w:cs="Times New Roman"/>
          <w:iCs/>
          <w:sz w:val="28"/>
          <w:szCs w:val="28"/>
        </w:rPr>
        <w:t>a</w:t>
      </w:r>
      <w:r w:rsidRPr="00A81263">
        <w:rPr>
          <w:rFonts w:ascii="Times New Roman" w:hAnsi="Times New Roman" w:cs="Times New Roman"/>
          <w:iCs/>
          <w:sz w:val="28"/>
          <w:szCs w:val="28"/>
        </w:rPr>
        <w:t xml:space="preserve">nd </w:t>
      </w:r>
      <w:r>
        <w:rPr>
          <w:rFonts w:ascii="Times New Roman" w:hAnsi="Times New Roman" w:cs="Times New Roman"/>
          <w:iCs/>
          <w:sz w:val="28"/>
          <w:szCs w:val="28"/>
        </w:rPr>
        <w:t>t</w:t>
      </w:r>
      <w:r w:rsidRPr="00A81263">
        <w:rPr>
          <w:rFonts w:ascii="Times New Roman" w:hAnsi="Times New Roman" w:cs="Times New Roman"/>
          <w:iCs/>
          <w:sz w:val="28"/>
          <w:szCs w:val="28"/>
        </w:rPr>
        <w:t xml:space="preserve">he Financial Condition </w:t>
      </w:r>
      <w:r>
        <w:rPr>
          <w:rFonts w:ascii="Times New Roman" w:hAnsi="Times New Roman" w:cs="Times New Roman"/>
          <w:iCs/>
          <w:sz w:val="28"/>
          <w:szCs w:val="28"/>
        </w:rPr>
        <w:t>o</w:t>
      </w:r>
      <w:r w:rsidRPr="00A81263">
        <w:rPr>
          <w:rFonts w:ascii="Times New Roman" w:hAnsi="Times New Roman" w:cs="Times New Roman"/>
          <w:iCs/>
          <w:sz w:val="28"/>
          <w:szCs w:val="28"/>
        </w:rPr>
        <w:t>f Public Pensions</w:t>
      </w:r>
      <w:bookmarkStart w:id="0" w:name="_GoBack"/>
      <w:bookmarkEnd w:id="0"/>
    </w:p>
    <w:p w14:paraId="703DC825" w14:textId="77777777" w:rsidR="00611EF0" w:rsidRPr="00A81263" w:rsidRDefault="00611EF0" w:rsidP="00663DD8">
      <w:pPr>
        <w:spacing w:after="0" w:line="240" w:lineRule="auto"/>
        <w:contextualSpacing/>
        <w:jc w:val="center"/>
        <w:rPr>
          <w:rFonts w:ascii="Times New Roman" w:hAnsi="Times New Roman" w:cs="Times New Roman"/>
          <w:sz w:val="28"/>
          <w:szCs w:val="28"/>
        </w:rPr>
      </w:pPr>
    </w:p>
    <w:p w14:paraId="0D343778" w14:textId="77777777" w:rsidR="00611EF0" w:rsidRPr="000455BF" w:rsidRDefault="00611EF0" w:rsidP="00663DD8">
      <w:pPr>
        <w:spacing w:after="0" w:line="240" w:lineRule="auto"/>
        <w:contextualSpacing/>
        <w:jc w:val="center"/>
        <w:rPr>
          <w:rFonts w:ascii="Times New Roman" w:hAnsi="Times New Roman" w:cs="Times New Roman"/>
          <w:sz w:val="24"/>
          <w:szCs w:val="24"/>
        </w:rPr>
      </w:pPr>
    </w:p>
    <w:p w14:paraId="1569D03E" w14:textId="00E5FF47" w:rsidR="000E2DBA" w:rsidRPr="00BD702E" w:rsidRDefault="00BD702E" w:rsidP="00BD702E">
      <w:pPr>
        <w:spacing w:after="0" w:line="240" w:lineRule="auto"/>
        <w:contextualSpacing/>
        <w:rPr>
          <w:rFonts w:ascii="Times New Roman" w:eastAsiaTheme="majorEastAsia" w:hAnsi="Times New Roman" w:cs="Times New Roman"/>
          <w:iCs/>
          <w:spacing w:val="5"/>
          <w:kern w:val="28"/>
          <w:sz w:val="28"/>
          <w:szCs w:val="28"/>
          <w:lang w:eastAsia="en-US"/>
        </w:rPr>
      </w:pPr>
      <w:r w:rsidRPr="00BD702E">
        <w:rPr>
          <w:rFonts w:ascii="Times New Roman" w:eastAsiaTheme="majorEastAsia" w:hAnsi="Times New Roman" w:cs="Times New Roman"/>
          <w:iCs/>
          <w:spacing w:val="5"/>
          <w:kern w:val="28"/>
          <w:sz w:val="28"/>
          <w:szCs w:val="28"/>
          <w:lang w:eastAsia="en-US"/>
        </w:rPr>
        <w:t>Abstract</w:t>
      </w:r>
    </w:p>
    <w:p w14:paraId="2EDEF6E0" w14:textId="77777777" w:rsidR="00972A6C" w:rsidRDefault="00972A6C" w:rsidP="000E2DBA">
      <w:pPr>
        <w:spacing w:after="0" w:line="240" w:lineRule="auto"/>
        <w:contextualSpacing/>
        <w:rPr>
          <w:rFonts w:ascii="Times New Roman" w:hAnsi="Times New Roman" w:cs="Times New Roman"/>
          <w:sz w:val="24"/>
          <w:szCs w:val="24"/>
        </w:rPr>
      </w:pPr>
    </w:p>
    <w:p w14:paraId="57A1224C" w14:textId="2D64C0A0" w:rsidR="000E2DBA" w:rsidRDefault="000E2DBA" w:rsidP="000E2DBA">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There are significant concerns about the financial condition of public pensions in U.S. state and local governments. A growing number of observers contend that those conditions are actually much worse than government financial reports currently indicate. At the root of those claims is a view that governments use overly optimistic and risk-accepting actuarial inputs that allow them to project lower pension liabilities than is financially prudent. This paper uses simulated pension system data to examine the effect of actuarial inputs on the funding ratios and contribution requirements of public pensions. Our findings demonstrate the significant effect of discount rates, salary growth </w:t>
      </w:r>
      <w:r w:rsidR="00BC5037">
        <w:rPr>
          <w:rFonts w:ascii="Times New Roman" w:hAnsi="Times New Roman" w:cs="Times New Roman"/>
          <w:sz w:val="24"/>
          <w:szCs w:val="24"/>
        </w:rPr>
        <w:t xml:space="preserve">rate </w:t>
      </w:r>
      <w:r>
        <w:rPr>
          <w:rFonts w:ascii="Times New Roman" w:hAnsi="Times New Roman" w:cs="Times New Roman"/>
          <w:sz w:val="24"/>
          <w:szCs w:val="24"/>
        </w:rPr>
        <w:t xml:space="preserve">assumptions, cost methods, amortization periods, and mortality tables and important interactive effects among the inputs. </w:t>
      </w:r>
      <w:r w:rsidR="00BC5037">
        <w:rPr>
          <w:rFonts w:ascii="Times New Roman" w:hAnsi="Times New Roman" w:cs="Times New Roman"/>
          <w:sz w:val="24"/>
          <w:szCs w:val="24"/>
        </w:rPr>
        <w:t>W</w:t>
      </w:r>
      <w:r>
        <w:rPr>
          <w:rFonts w:ascii="Times New Roman" w:hAnsi="Times New Roman" w:cs="Times New Roman"/>
          <w:sz w:val="24"/>
          <w:szCs w:val="24"/>
        </w:rPr>
        <w:t xml:space="preserve">e </w:t>
      </w:r>
      <w:r w:rsidR="00BC5037">
        <w:rPr>
          <w:rFonts w:ascii="Times New Roman" w:hAnsi="Times New Roman" w:cs="Times New Roman"/>
          <w:sz w:val="24"/>
          <w:szCs w:val="24"/>
        </w:rPr>
        <w:t xml:space="preserve">also </w:t>
      </w:r>
      <w:r>
        <w:rPr>
          <w:rFonts w:ascii="Times New Roman" w:hAnsi="Times New Roman" w:cs="Times New Roman"/>
          <w:sz w:val="24"/>
          <w:szCs w:val="24"/>
        </w:rPr>
        <w:t xml:space="preserve">find that the effect of actuarial inputs is greatly influenced by the demographic profile of system participants and by asset levels.  </w:t>
      </w:r>
    </w:p>
    <w:p w14:paraId="173C57B4" w14:textId="77777777" w:rsidR="00A13D9F" w:rsidRDefault="00A13D9F" w:rsidP="000E2DBA">
      <w:pPr>
        <w:spacing w:after="0" w:line="240" w:lineRule="auto"/>
        <w:contextualSpacing/>
        <w:rPr>
          <w:rFonts w:ascii="Times New Roman" w:hAnsi="Times New Roman" w:cs="Times New Roman"/>
          <w:sz w:val="24"/>
          <w:szCs w:val="24"/>
        </w:rPr>
      </w:pPr>
    </w:p>
    <w:p w14:paraId="0EFAB913" w14:textId="77777777" w:rsidR="00A81263" w:rsidRDefault="00A81263" w:rsidP="00663DD8">
      <w:pPr>
        <w:spacing w:after="0" w:line="240" w:lineRule="auto"/>
        <w:contextualSpacing/>
        <w:jc w:val="center"/>
        <w:rPr>
          <w:rFonts w:ascii="Times New Roman" w:hAnsi="Times New Roman" w:cs="Times New Roman"/>
          <w:sz w:val="24"/>
          <w:szCs w:val="24"/>
        </w:rPr>
      </w:pPr>
    </w:p>
    <w:p w14:paraId="2BFA3BE9" w14:textId="205518F3" w:rsidR="00273A79" w:rsidRPr="00BD702E" w:rsidRDefault="00273A79" w:rsidP="00273A79">
      <w:pPr>
        <w:spacing w:after="0" w:line="240" w:lineRule="auto"/>
        <w:contextualSpacing/>
        <w:rPr>
          <w:rFonts w:ascii="Times New Roman" w:eastAsiaTheme="majorEastAsia" w:hAnsi="Times New Roman" w:cs="Times New Roman"/>
          <w:iCs/>
          <w:spacing w:val="5"/>
          <w:kern w:val="28"/>
          <w:sz w:val="28"/>
          <w:szCs w:val="28"/>
          <w:lang w:eastAsia="en-US"/>
        </w:rPr>
      </w:pPr>
      <w:r>
        <w:rPr>
          <w:rFonts w:ascii="Times New Roman" w:eastAsiaTheme="majorEastAsia" w:hAnsi="Times New Roman" w:cs="Times New Roman"/>
          <w:iCs/>
          <w:spacing w:val="5"/>
          <w:kern w:val="28"/>
          <w:sz w:val="28"/>
          <w:szCs w:val="28"/>
          <w:lang w:eastAsia="en-US"/>
        </w:rPr>
        <w:t>Authors</w:t>
      </w:r>
    </w:p>
    <w:p w14:paraId="439AB564" w14:textId="77777777" w:rsidR="00A81263" w:rsidRDefault="00A81263" w:rsidP="00BD702E">
      <w:pPr>
        <w:spacing w:after="0" w:line="240" w:lineRule="auto"/>
        <w:contextualSpacing/>
        <w:rPr>
          <w:rFonts w:ascii="Times New Roman" w:hAnsi="Times New Roman" w:cs="Times New Roman"/>
          <w:sz w:val="24"/>
          <w:szCs w:val="24"/>
        </w:rPr>
      </w:pPr>
    </w:p>
    <w:p w14:paraId="2740AC2B" w14:textId="77777777" w:rsidR="00611EF0" w:rsidRPr="000455BF" w:rsidRDefault="00611EF0" w:rsidP="00BD702E">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Gang Chen</w:t>
      </w:r>
    </w:p>
    <w:p w14:paraId="7719C296" w14:textId="77777777" w:rsidR="00611EF0" w:rsidRPr="000455BF" w:rsidRDefault="00611EF0" w:rsidP="00BD702E">
      <w:pPr>
        <w:spacing w:after="0" w:line="240" w:lineRule="auto"/>
        <w:contextualSpacing/>
        <w:rPr>
          <w:rFonts w:ascii="Times New Roman" w:hAnsi="Times New Roman" w:cs="Times New Roman"/>
          <w:sz w:val="24"/>
          <w:szCs w:val="24"/>
        </w:rPr>
      </w:pPr>
      <w:r w:rsidRPr="000455BF">
        <w:rPr>
          <w:rFonts w:ascii="Times New Roman" w:hAnsi="Times New Roman" w:cs="Times New Roman"/>
          <w:sz w:val="24"/>
          <w:szCs w:val="24"/>
        </w:rPr>
        <w:t>Department of Public Administration and Policy</w:t>
      </w:r>
    </w:p>
    <w:p w14:paraId="324AF3F2" w14:textId="77777777" w:rsidR="00611EF0" w:rsidRPr="000455BF" w:rsidRDefault="00611EF0" w:rsidP="00BD702E">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University at Albany – SUNY</w:t>
      </w:r>
    </w:p>
    <w:p w14:paraId="007D63B5" w14:textId="77777777" w:rsidR="00611EF0" w:rsidRPr="000455BF" w:rsidRDefault="00611EF0" w:rsidP="00BD702E">
      <w:pPr>
        <w:spacing w:after="0" w:line="240" w:lineRule="auto"/>
        <w:contextualSpacing/>
        <w:rPr>
          <w:rFonts w:ascii="Times New Roman" w:hAnsi="Times New Roman" w:cs="Times New Roman"/>
          <w:sz w:val="24"/>
          <w:szCs w:val="24"/>
        </w:rPr>
      </w:pPr>
      <w:proofErr w:type="gramStart"/>
      <w:r w:rsidRPr="000455BF">
        <w:rPr>
          <w:rFonts w:ascii="Times New Roman" w:hAnsi="Times New Roman" w:cs="Times New Roman"/>
          <w:sz w:val="24"/>
          <w:szCs w:val="24"/>
        </w:rPr>
        <w:t>e-mail</w:t>
      </w:r>
      <w:proofErr w:type="gramEnd"/>
      <w:r w:rsidRPr="000455BF">
        <w:rPr>
          <w:rFonts w:ascii="Times New Roman" w:hAnsi="Times New Roman" w:cs="Times New Roman"/>
          <w:sz w:val="24"/>
          <w:szCs w:val="24"/>
        </w:rPr>
        <w:t xml:space="preserve"> –</w:t>
      </w:r>
      <w:r>
        <w:rPr>
          <w:rFonts w:ascii="Times New Roman" w:hAnsi="Times New Roman" w:cs="Times New Roman"/>
          <w:sz w:val="24"/>
          <w:szCs w:val="24"/>
        </w:rPr>
        <w:t xml:space="preserve"> gchen3</w:t>
      </w:r>
      <w:r w:rsidRPr="000455BF">
        <w:rPr>
          <w:rFonts w:ascii="Times New Roman" w:hAnsi="Times New Roman" w:cs="Times New Roman"/>
          <w:sz w:val="24"/>
          <w:szCs w:val="24"/>
        </w:rPr>
        <w:t>@</w:t>
      </w:r>
      <w:r>
        <w:rPr>
          <w:rFonts w:ascii="Times New Roman" w:hAnsi="Times New Roman" w:cs="Times New Roman"/>
          <w:sz w:val="24"/>
          <w:szCs w:val="24"/>
        </w:rPr>
        <w:t>albany</w:t>
      </w:r>
      <w:r w:rsidRPr="000455BF">
        <w:rPr>
          <w:rFonts w:ascii="Times New Roman" w:hAnsi="Times New Roman" w:cs="Times New Roman"/>
          <w:sz w:val="24"/>
          <w:szCs w:val="24"/>
        </w:rPr>
        <w:t>.edu</w:t>
      </w:r>
    </w:p>
    <w:p w14:paraId="6566D398" w14:textId="77777777" w:rsidR="00611EF0" w:rsidRPr="000455BF" w:rsidRDefault="00611EF0" w:rsidP="00BD702E">
      <w:pPr>
        <w:spacing w:after="0" w:line="240" w:lineRule="auto"/>
        <w:contextualSpacing/>
        <w:rPr>
          <w:rFonts w:ascii="Times New Roman" w:hAnsi="Times New Roman" w:cs="Times New Roman"/>
          <w:sz w:val="24"/>
          <w:szCs w:val="24"/>
        </w:rPr>
      </w:pPr>
      <w:proofErr w:type="gramStart"/>
      <w:r w:rsidRPr="000455BF">
        <w:rPr>
          <w:rFonts w:ascii="Times New Roman" w:hAnsi="Times New Roman" w:cs="Times New Roman"/>
          <w:sz w:val="24"/>
          <w:szCs w:val="24"/>
        </w:rPr>
        <w:t>phone</w:t>
      </w:r>
      <w:proofErr w:type="gramEnd"/>
      <w:r w:rsidRPr="000455BF">
        <w:rPr>
          <w:rFonts w:ascii="Times New Roman" w:hAnsi="Times New Roman" w:cs="Times New Roman"/>
          <w:sz w:val="24"/>
          <w:szCs w:val="24"/>
        </w:rPr>
        <w:t xml:space="preserve"> – </w:t>
      </w:r>
      <w:r>
        <w:rPr>
          <w:rFonts w:ascii="Times New Roman" w:hAnsi="Times New Roman" w:cs="Times New Roman"/>
          <w:sz w:val="24"/>
          <w:szCs w:val="24"/>
        </w:rPr>
        <w:t>518-442-5284</w:t>
      </w:r>
    </w:p>
    <w:p w14:paraId="34D05AF1" w14:textId="77777777" w:rsidR="00611EF0" w:rsidRDefault="00611EF0" w:rsidP="00BD702E">
      <w:pPr>
        <w:spacing w:after="0" w:line="240" w:lineRule="auto"/>
        <w:contextualSpacing/>
        <w:rPr>
          <w:rFonts w:ascii="Times New Roman" w:hAnsi="Times New Roman" w:cs="Times New Roman"/>
          <w:sz w:val="24"/>
          <w:szCs w:val="24"/>
        </w:rPr>
      </w:pPr>
    </w:p>
    <w:p w14:paraId="383DA3FF" w14:textId="77777777" w:rsidR="00611EF0" w:rsidRPr="000455BF" w:rsidRDefault="00611EF0" w:rsidP="00BD702E">
      <w:pPr>
        <w:spacing w:after="0" w:line="240" w:lineRule="auto"/>
        <w:contextualSpacing/>
        <w:rPr>
          <w:rFonts w:ascii="Times New Roman" w:hAnsi="Times New Roman" w:cs="Times New Roman"/>
          <w:sz w:val="24"/>
          <w:szCs w:val="24"/>
        </w:rPr>
      </w:pPr>
      <w:r w:rsidRPr="000455BF">
        <w:rPr>
          <w:rFonts w:ascii="Times New Roman" w:hAnsi="Times New Roman" w:cs="Times New Roman"/>
          <w:sz w:val="24"/>
          <w:szCs w:val="24"/>
        </w:rPr>
        <w:t>David S. T. Matkin</w:t>
      </w:r>
    </w:p>
    <w:p w14:paraId="2FC93C50" w14:textId="77777777" w:rsidR="00611EF0" w:rsidRPr="000455BF" w:rsidRDefault="00611EF0" w:rsidP="00BD702E">
      <w:pPr>
        <w:spacing w:after="0" w:line="240" w:lineRule="auto"/>
        <w:contextualSpacing/>
        <w:rPr>
          <w:rFonts w:ascii="Times New Roman" w:hAnsi="Times New Roman" w:cs="Times New Roman"/>
          <w:sz w:val="24"/>
          <w:szCs w:val="24"/>
        </w:rPr>
      </w:pPr>
      <w:r w:rsidRPr="000455BF">
        <w:rPr>
          <w:rFonts w:ascii="Times New Roman" w:hAnsi="Times New Roman" w:cs="Times New Roman"/>
          <w:sz w:val="24"/>
          <w:szCs w:val="24"/>
        </w:rPr>
        <w:t>Department of Public Administration and Policy</w:t>
      </w:r>
    </w:p>
    <w:p w14:paraId="561B9843" w14:textId="77777777" w:rsidR="00611EF0" w:rsidRPr="000455BF" w:rsidRDefault="00611EF0" w:rsidP="00BD702E">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University at Albany – SUNY</w:t>
      </w:r>
    </w:p>
    <w:p w14:paraId="7BAD1BF3" w14:textId="77777777" w:rsidR="00611EF0" w:rsidRPr="000455BF" w:rsidRDefault="00611EF0" w:rsidP="00BD702E">
      <w:pPr>
        <w:spacing w:after="0" w:line="240" w:lineRule="auto"/>
        <w:contextualSpacing/>
        <w:rPr>
          <w:rFonts w:ascii="Times New Roman" w:hAnsi="Times New Roman" w:cs="Times New Roman"/>
          <w:sz w:val="24"/>
          <w:szCs w:val="24"/>
        </w:rPr>
      </w:pPr>
      <w:proofErr w:type="gramStart"/>
      <w:r w:rsidRPr="000455BF">
        <w:rPr>
          <w:rFonts w:ascii="Times New Roman" w:hAnsi="Times New Roman" w:cs="Times New Roman"/>
          <w:sz w:val="24"/>
          <w:szCs w:val="24"/>
        </w:rPr>
        <w:t>e-mail</w:t>
      </w:r>
      <w:proofErr w:type="gramEnd"/>
      <w:r w:rsidRPr="000455BF">
        <w:rPr>
          <w:rFonts w:ascii="Times New Roman" w:hAnsi="Times New Roman" w:cs="Times New Roman"/>
          <w:sz w:val="24"/>
          <w:szCs w:val="24"/>
        </w:rPr>
        <w:t xml:space="preserve"> –</w:t>
      </w:r>
      <w:r>
        <w:rPr>
          <w:rFonts w:ascii="Times New Roman" w:hAnsi="Times New Roman" w:cs="Times New Roman"/>
          <w:sz w:val="24"/>
          <w:szCs w:val="24"/>
        </w:rPr>
        <w:t xml:space="preserve"> dmatkin</w:t>
      </w:r>
      <w:r w:rsidRPr="000455BF">
        <w:rPr>
          <w:rFonts w:ascii="Times New Roman" w:hAnsi="Times New Roman" w:cs="Times New Roman"/>
          <w:sz w:val="24"/>
          <w:szCs w:val="24"/>
        </w:rPr>
        <w:t>@</w:t>
      </w:r>
      <w:r>
        <w:rPr>
          <w:rFonts w:ascii="Times New Roman" w:hAnsi="Times New Roman" w:cs="Times New Roman"/>
          <w:sz w:val="24"/>
          <w:szCs w:val="24"/>
        </w:rPr>
        <w:t>albany</w:t>
      </w:r>
      <w:r w:rsidRPr="000455BF">
        <w:rPr>
          <w:rFonts w:ascii="Times New Roman" w:hAnsi="Times New Roman" w:cs="Times New Roman"/>
          <w:sz w:val="24"/>
          <w:szCs w:val="24"/>
        </w:rPr>
        <w:t>.edu</w:t>
      </w:r>
    </w:p>
    <w:p w14:paraId="3B1642C5" w14:textId="77777777" w:rsidR="00611EF0" w:rsidRPr="000455BF" w:rsidRDefault="00611EF0" w:rsidP="00BD702E">
      <w:pPr>
        <w:spacing w:after="0" w:line="240" w:lineRule="auto"/>
        <w:contextualSpacing/>
        <w:rPr>
          <w:rFonts w:ascii="Times New Roman" w:hAnsi="Times New Roman" w:cs="Times New Roman"/>
          <w:sz w:val="24"/>
          <w:szCs w:val="24"/>
        </w:rPr>
      </w:pPr>
      <w:proofErr w:type="gramStart"/>
      <w:r w:rsidRPr="000455BF">
        <w:rPr>
          <w:rFonts w:ascii="Times New Roman" w:hAnsi="Times New Roman" w:cs="Times New Roman"/>
          <w:sz w:val="24"/>
          <w:szCs w:val="24"/>
        </w:rPr>
        <w:t>phone</w:t>
      </w:r>
      <w:proofErr w:type="gramEnd"/>
      <w:r w:rsidRPr="000455BF">
        <w:rPr>
          <w:rFonts w:ascii="Times New Roman" w:hAnsi="Times New Roman" w:cs="Times New Roman"/>
          <w:sz w:val="24"/>
          <w:szCs w:val="24"/>
        </w:rPr>
        <w:t xml:space="preserve"> – </w:t>
      </w:r>
      <w:r>
        <w:rPr>
          <w:rFonts w:ascii="Times New Roman" w:hAnsi="Times New Roman" w:cs="Times New Roman"/>
          <w:sz w:val="24"/>
          <w:szCs w:val="24"/>
        </w:rPr>
        <w:t>518-442-5279</w:t>
      </w:r>
    </w:p>
    <w:p w14:paraId="569AA7C3" w14:textId="77777777" w:rsidR="00611EF0" w:rsidRPr="000455BF" w:rsidRDefault="00611EF0" w:rsidP="00663DD8">
      <w:pPr>
        <w:spacing w:after="0" w:line="240" w:lineRule="auto"/>
        <w:contextualSpacing/>
        <w:jc w:val="center"/>
        <w:rPr>
          <w:rFonts w:ascii="Times New Roman" w:hAnsi="Times New Roman" w:cs="Times New Roman"/>
          <w:sz w:val="24"/>
          <w:szCs w:val="24"/>
        </w:rPr>
      </w:pPr>
    </w:p>
    <w:p w14:paraId="18BECDE6" w14:textId="77777777" w:rsidR="00D83368" w:rsidRDefault="00D83368" w:rsidP="00663DD8">
      <w:pPr>
        <w:spacing w:after="0"/>
        <w:contextualSpacing/>
        <w:rPr>
          <w:rFonts w:ascii="Times New Roman" w:hAnsi="Times New Roman" w:cs="Times New Roman"/>
          <w:sz w:val="24"/>
          <w:szCs w:val="24"/>
        </w:rPr>
      </w:pPr>
    </w:p>
    <w:p w14:paraId="74A2B32C" w14:textId="77777777" w:rsidR="00444AB6" w:rsidRDefault="00444AB6" w:rsidP="00663DD8">
      <w:pPr>
        <w:spacing w:after="0"/>
        <w:contextualSpacing/>
        <w:rPr>
          <w:rFonts w:ascii="Times New Roman" w:hAnsi="Times New Roman" w:cs="Times New Roman"/>
          <w:sz w:val="24"/>
          <w:szCs w:val="24"/>
        </w:rPr>
      </w:pPr>
    </w:p>
    <w:p w14:paraId="20C0A782" w14:textId="77777777" w:rsidR="00444AB6" w:rsidRPr="00D83368" w:rsidRDefault="00444AB6" w:rsidP="00663DD8">
      <w:pPr>
        <w:spacing w:after="0"/>
        <w:contextualSpacing/>
        <w:rPr>
          <w:rFonts w:ascii="Times New Roman" w:hAnsi="Times New Roman" w:cs="Times New Roman"/>
          <w:sz w:val="24"/>
          <w:szCs w:val="24"/>
        </w:rPr>
      </w:pPr>
    </w:p>
    <w:p w14:paraId="78F850A0" w14:textId="77777777" w:rsidR="00A81263" w:rsidRDefault="00A81263">
      <w:pPr>
        <w:rPr>
          <w:rFonts w:ascii="Times New Roman" w:hAnsi="Times New Roman" w:cs="Times New Roman"/>
          <w:sz w:val="24"/>
          <w:szCs w:val="24"/>
        </w:rPr>
      </w:pPr>
      <w:r>
        <w:rPr>
          <w:rFonts w:ascii="Times New Roman" w:hAnsi="Times New Roman" w:cs="Times New Roman"/>
          <w:sz w:val="24"/>
          <w:szCs w:val="24"/>
        </w:rPr>
        <w:br w:type="page"/>
      </w:r>
    </w:p>
    <w:p w14:paraId="3925BB6E" w14:textId="0C83ADDB" w:rsidR="00A81263" w:rsidRPr="00A81263" w:rsidRDefault="00BD702E" w:rsidP="00BD702E">
      <w:pPr>
        <w:pStyle w:val="Title"/>
        <w:spacing w:after="0"/>
        <w:jc w:val="left"/>
        <w:rPr>
          <w:rFonts w:ascii="Times New Roman" w:hAnsi="Times New Roman" w:cs="Times New Roman"/>
          <w:iCs/>
          <w:sz w:val="28"/>
          <w:szCs w:val="28"/>
        </w:rPr>
      </w:pPr>
      <w:r w:rsidRPr="00A81263">
        <w:rPr>
          <w:rFonts w:ascii="Times New Roman" w:hAnsi="Times New Roman" w:cs="Times New Roman"/>
          <w:iCs/>
          <w:sz w:val="28"/>
          <w:szCs w:val="28"/>
        </w:rPr>
        <w:lastRenderedPageBreak/>
        <w:t>T</w:t>
      </w:r>
      <w:r>
        <w:rPr>
          <w:rFonts w:ascii="Times New Roman" w:hAnsi="Times New Roman" w:cs="Times New Roman"/>
          <w:iCs/>
          <w:sz w:val="28"/>
          <w:szCs w:val="28"/>
        </w:rPr>
        <w:t>he Relationship b</w:t>
      </w:r>
      <w:r w:rsidRPr="00A81263">
        <w:rPr>
          <w:rFonts w:ascii="Times New Roman" w:hAnsi="Times New Roman" w:cs="Times New Roman"/>
          <w:iCs/>
          <w:sz w:val="28"/>
          <w:szCs w:val="28"/>
        </w:rPr>
        <w:t xml:space="preserve">etween Actuarial Inputs </w:t>
      </w:r>
      <w:r>
        <w:rPr>
          <w:rFonts w:ascii="Times New Roman" w:hAnsi="Times New Roman" w:cs="Times New Roman"/>
          <w:iCs/>
          <w:sz w:val="28"/>
          <w:szCs w:val="28"/>
        </w:rPr>
        <w:t>a</w:t>
      </w:r>
      <w:r w:rsidRPr="00A81263">
        <w:rPr>
          <w:rFonts w:ascii="Times New Roman" w:hAnsi="Times New Roman" w:cs="Times New Roman"/>
          <w:iCs/>
          <w:sz w:val="28"/>
          <w:szCs w:val="28"/>
        </w:rPr>
        <w:t xml:space="preserve">nd </w:t>
      </w:r>
      <w:r>
        <w:rPr>
          <w:rFonts w:ascii="Times New Roman" w:hAnsi="Times New Roman" w:cs="Times New Roman"/>
          <w:iCs/>
          <w:sz w:val="28"/>
          <w:szCs w:val="28"/>
        </w:rPr>
        <w:t>t</w:t>
      </w:r>
      <w:r w:rsidRPr="00A81263">
        <w:rPr>
          <w:rFonts w:ascii="Times New Roman" w:hAnsi="Times New Roman" w:cs="Times New Roman"/>
          <w:iCs/>
          <w:sz w:val="28"/>
          <w:szCs w:val="28"/>
        </w:rPr>
        <w:t xml:space="preserve">he Financial Condition </w:t>
      </w:r>
      <w:r>
        <w:rPr>
          <w:rFonts w:ascii="Times New Roman" w:hAnsi="Times New Roman" w:cs="Times New Roman"/>
          <w:iCs/>
          <w:sz w:val="28"/>
          <w:szCs w:val="28"/>
        </w:rPr>
        <w:t>o</w:t>
      </w:r>
      <w:r w:rsidRPr="00A81263">
        <w:rPr>
          <w:rFonts w:ascii="Times New Roman" w:hAnsi="Times New Roman" w:cs="Times New Roman"/>
          <w:iCs/>
          <w:sz w:val="28"/>
          <w:szCs w:val="28"/>
        </w:rPr>
        <w:t>f Public Pensions</w:t>
      </w:r>
    </w:p>
    <w:p w14:paraId="0D08BDBD" w14:textId="77777777" w:rsidR="00D83368" w:rsidRDefault="00D83368" w:rsidP="00620DCC">
      <w:pPr>
        <w:spacing w:after="0" w:line="240" w:lineRule="auto"/>
        <w:contextualSpacing/>
        <w:rPr>
          <w:rFonts w:ascii="Times New Roman" w:hAnsi="Times New Roman" w:cs="Times New Roman"/>
          <w:sz w:val="24"/>
          <w:szCs w:val="24"/>
        </w:rPr>
      </w:pPr>
    </w:p>
    <w:p w14:paraId="2363B1AF" w14:textId="77777777" w:rsidR="00D83368" w:rsidRDefault="00D83368" w:rsidP="00620DCC">
      <w:pPr>
        <w:spacing w:after="0" w:line="240" w:lineRule="auto"/>
        <w:contextualSpacing/>
        <w:rPr>
          <w:rFonts w:ascii="Times New Roman" w:hAnsi="Times New Roman" w:cs="Times New Roman"/>
          <w:sz w:val="24"/>
          <w:szCs w:val="24"/>
        </w:rPr>
      </w:pPr>
    </w:p>
    <w:p w14:paraId="52393F99" w14:textId="798ACC4A" w:rsidR="00394958" w:rsidRPr="00BD702E" w:rsidRDefault="00BD702E" w:rsidP="00BD702E">
      <w:pPr>
        <w:spacing w:after="0" w:line="480" w:lineRule="auto"/>
        <w:contextualSpacing/>
        <w:rPr>
          <w:rFonts w:ascii="Times New Roman" w:eastAsiaTheme="majorEastAsia" w:hAnsi="Times New Roman" w:cs="Times New Roman"/>
          <w:iCs/>
          <w:spacing w:val="5"/>
          <w:kern w:val="28"/>
          <w:sz w:val="28"/>
          <w:szCs w:val="28"/>
          <w:lang w:eastAsia="en-US"/>
        </w:rPr>
      </w:pPr>
      <w:r w:rsidRPr="00BD702E">
        <w:rPr>
          <w:rFonts w:ascii="Times New Roman" w:eastAsiaTheme="majorEastAsia" w:hAnsi="Times New Roman" w:cs="Times New Roman"/>
          <w:iCs/>
          <w:spacing w:val="5"/>
          <w:kern w:val="28"/>
          <w:sz w:val="28"/>
          <w:szCs w:val="28"/>
          <w:lang w:eastAsia="en-US"/>
        </w:rPr>
        <w:t>Introduction</w:t>
      </w:r>
    </w:p>
    <w:p w14:paraId="79499F2E" w14:textId="2B8C4C73" w:rsidR="00F30424" w:rsidRDefault="00394958" w:rsidP="00663DD8">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6629B0" w:rsidRPr="003B102B">
        <w:rPr>
          <w:rFonts w:ascii="Times New Roman" w:hAnsi="Times New Roman" w:cs="Times New Roman"/>
          <w:sz w:val="24"/>
          <w:szCs w:val="24"/>
        </w:rPr>
        <w:t xml:space="preserve">Public pensions are at the center of </w:t>
      </w:r>
      <w:r w:rsidR="006629B0">
        <w:rPr>
          <w:rFonts w:ascii="Times New Roman" w:hAnsi="Times New Roman" w:cs="Times New Roman"/>
          <w:sz w:val="24"/>
          <w:szCs w:val="24"/>
        </w:rPr>
        <w:t xml:space="preserve">many </w:t>
      </w:r>
      <w:r w:rsidR="006629B0" w:rsidRPr="003B102B">
        <w:rPr>
          <w:rFonts w:ascii="Times New Roman" w:hAnsi="Times New Roman" w:cs="Times New Roman"/>
          <w:sz w:val="24"/>
          <w:szCs w:val="24"/>
        </w:rPr>
        <w:t>contentious policy debates in U.S. state and local governments</w:t>
      </w:r>
      <w:r w:rsidR="009C7D02">
        <w:rPr>
          <w:rFonts w:ascii="Times New Roman" w:hAnsi="Times New Roman" w:cs="Times New Roman"/>
          <w:sz w:val="24"/>
          <w:szCs w:val="24"/>
        </w:rPr>
        <w:t xml:space="preserve"> (Chapman 2008)</w:t>
      </w:r>
      <w:r w:rsidR="006629B0">
        <w:rPr>
          <w:rFonts w:ascii="Times New Roman" w:hAnsi="Times New Roman" w:cs="Times New Roman"/>
          <w:sz w:val="24"/>
          <w:szCs w:val="24"/>
        </w:rPr>
        <w:t xml:space="preserve">. </w:t>
      </w:r>
      <w:r w:rsidR="003C0FD3">
        <w:rPr>
          <w:rFonts w:ascii="Times New Roman" w:hAnsi="Times New Roman" w:cs="Times New Roman"/>
          <w:sz w:val="24"/>
          <w:szCs w:val="24"/>
        </w:rPr>
        <w:t xml:space="preserve">The </w:t>
      </w:r>
      <w:r w:rsidR="006D7ECD">
        <w:rPr>
          <w:rFonts w:ascii="Times New Roman" w:hAnsi="Times New Roman" w:cs="Times New Roman"/>
          <w:sz w:val="24"/>
          <w:szCs w:val="24"/>
        </w:rPr>
        <w:t>salience of tho</w:t>
      </w:r>
      <w:r w:rsidR="003C0FD3">
        <w:rPr>
          <w:rFonts w:ascii="Times New Roman" w:hAnsi="Times New Roman" w:cs="Times New Roman"/>
          <w:sz w:val="24"/>
          <w:szCs w:val="24"/>
        </w:rPr>
        <w:t xml:space="preserve">se </w:t>
      </w:r>
      <w:r w:rsidR="00884D89">
        <w:rPr>
          <w:rFonts w:ascii="Times New Roman" w:hAnsi="Times New Roman" w:cs="Times New Roman"/>
          <w:sz w:val="24"/>
          <w:szCs w:val="24"/>
        </w:rPr>
        <w:t>debates</w:t>
      </w:r>
      <w:r w:rsidR="00104340">
        <w:rPr>
          <w:rFonts w:ascii="Times New Roman" w:hAnsi="Times New Roman" w:cs="Times New Roman"/>
          <w:sz w:val="24"/>
          <w:szCs w:val="24"/>
        </w:rPr>
        <w:t>,</w:t>
      </w:r>
      <w:r w:rsidR="00663DD8">
        <w:rPr>
          <w:rFonts w:ascii="Times New Roman" w:hAnsi="Times New Roman" w:cs="Times New Roman"/>
          <w:sz w:val="24"/>
          <w:szCs w:val="24"/>
        </w:rPr>
        <w:t xml:space="preserve"> </w:t>
      </w:r>
      <w:r w:rsidR="00884D89">
        <w:rPr>
          <w:rFonts w:ascii="Times New Roman" w:hAnsi="Times New Roman" w:cs="Times New Roman"/>
          <w:sz w:val="24"/>
          <w:szCs w:val="24"/>
        </w:rPr>
        <w:t xml:space="preserve">the </w:t>
      </w:r>
      <w:r w:rsidR="00663DD8">
        <w:rPr>
          <w:rFonts w:ascii="Times New Roman" w:hAnsi="Times New Roman" w:cs="Times New Roman"/>
          <w:sz w:val="24"/>
          <w:szCs w:val="24"/>
        </w:rPr>
        <w:t xml:space="preserve">persuasiveness of </w:t>
      </w:r>
      <w:r w:rsidR="00874205">
        <w:rPr>
          <w:rFonts w:ascii="Times New Roman" w:hAnsi="Times New Roman" w:cs="Times New Roman"/>
          <w:sz w:val="24"/>
          <w:szCs w:val="24"/>
        </w:rPr>
        <w:t xml:space="preserve">relevant </w:t>
      </w:r>
      <w:r w:rsidR="00663DD8">
        <w:rPr>
          <w:rFonts w:ascii="Times New Roman" w:hAnsi="Times New Roman" w:cs="Times New Roman"/>
          <w:sz w:val="24"/>
          <w:szCs w:val="24"/>
        </w:rPr>
        <w:t>policy options</w:t>
      </w:r>
      <w:r w:rsidR="006D7ECD">
        <w:rPr>
          <w:rFonts w:ascii="Times New Roman" w:hAnsi="Times New Roman" w:cs="Times New Roman"/>
          <w:sz w:val="24"/>
          <w:szCs w:val="24"/>
        </w:rPr>
        <w:t xml:space="preserve">, and the political urgency for policy change is </w:t>
      </w:r>
      <w:r w:rsidR="003E602D">
        <w:rPr>
          <w:rFonts w:ascii="Times New Roman" w:hAnsi="Times New Roman" w:cs="Times New Roman"/>
          <w:sz w:val="24"/>
          <w:szCs w:val="24"/>
        </w:rPr>
        <w:t xml:space="preserve">greatly influenced by </w:t>
      </w:r>
      <w:r w:rsidR="006629B0">
        <w:rPr>
          <w:rFonts w:ascii="Times New Roman" w:hAnsi="Times New Roman" w:cs="Times New Roman"/>
          <w:sz w:val="24"/>
          <w:szCs w:val="24"/>
        </w:rPr>
        <w:t xml:space="preserve">the size of unfunded pension liabilities and the budgetary </w:t>
      </w:r>
      <w:r w:rsidR="00663DD8">
        <w:rPr>
          <w:rFonts w:ascii="Times New Roman" w:hAnsi="Times New Roman" w:cs="Times New Roman"/>
          <w:sz w:val="24"/>
          <w:szCs w:val="24"/>
        </w:rPr>
        <w:t>burdens</w:t>
      </w:r>
      <w:r w:rsidR="006C6349">
        <w:rPr>
          <w:rFonts w:ascii="Times New Roman" w:hAnsi="Times New Roman" w:cs="Times New Roman"/>
          <w:sz w:val="24"/>
          <w:szCs w:val="24"/>
        </w:rPr>
        <w:t xml:space="preserve"> those liabilities create</w:t>
      </w:r>
      <w:r w:rsidR="00663DD8">
        <w:rPr>
          <w:rFonts w:ascii="Times New Roman" w:hAnsi="Times New Roman" w:cs="Times New Roman"/>
          <w:sz w:val="24"/>
          <w:szCs w:val="24"/>
        </w:rPr>
        <w:t xml:space="preserve">. </w:t>
      </w:r>
      <w:r w:rsidR="006D7ECD">
        <w:rPr>
          <w:rFonts w:ascii="Times New Roman" w:hAnsi="Times New Roman" w:cs="Times New Roman"/>
          <w:sz w:val="24"/>
          <w:szCs w:val="24"/>
        </w:rPr>
        <w:t>S</w:t>
      </w:r>
      <w:r w:rsidR="00DF3537">
        <w:rPr>
          <w:rFonts w:ascii="Times New Roman" w:hAnsi="Times New Roman" w:cs="Times New Roman"/>
          <w:sz w:val="24"/>
          <w:szCs w:val="24"/>
        </w:rPr>
        <w:t>ome argue</w:t>
      </w:r>
      <w:r w:rsidR="00884D89">
        <w:rPr>
          <w:rFonts w:ascii="Times New Roman" w:hAnsi="Times New Roman" w:cs="Times New Roman"/>
          <w:sz w:val="24"/>
          <w:szCs w:val="24"/>
        </w:rPr>
        <w:t xml:space="preserve"> that unfunded liabilities are </w:t>
      </w:r>
      <w:r w:rsidR="003E602D">
        <w:rPr>
          <w:rFonts w:ascii="Times New Roman" w:hAnsi="Times New Roman" w:cs="Times New Roman"/>
          <w:sz w:val="24"/>
          <w:szCs w:val="24"/>
        </w:rPr>
        <w:t xml:space="preserve">becoming </w:t>
      </w:r>
      <w:r w:rsidR="00884D89">
        <w:rPr>
          <w:rFonts w:ascii="Times New Roman" w:hAnsi="Times New Roman" w:cs="Times New Roman"/>
          <w:sz w:val="24"/>
          <w:szCs w:val="24"/>
        </w:rPr>
        <w:t>so large that they</w:t>
      </w:r>
      <w:r w:rsidR="00DF3537">
        <w:rPr>
          <w:rFonts w:ascii="Times New Roman" w:hAnsi="Times New Roman" w:cs="Times New Roman"/>
          <w:sz w:val="24"/>
          <w:szCs w:val="24"/>
        </w:rPr>
        <w:t xml:space="preserve"> are</w:t>
      </w:r>
      <w:r w:rsidR="00884D89">
        <w:rPr>
          <w:rFonts w:ascii="Times New Roman" w:hAnsi="Times New Roman" w:cs="Times New Roman"/>
          <w:sz w:val="24"/>
          <w:szCs w:val="24"/>
        </w:rPr>
        <w:t xml:space="preserve"> </w:t>
      </w:r>
      <w:r w:rsidR="006D7ECD">
        <w:rPr>
          <w:rFonts w:ascii="Times New Roman" w:hAnsi="Times New Roman" w:cs="Times New Roman"/>
          <w:sz w:val="24"/>
          <w:szCs w:val="24"/>
        </w:rPr>
        <w:t xml:space="preserve">harming state and local governments by </w:t>
      </w:r>
      <w:r w:rsidR="00DD77E6">
        <w:rPr>
          <w:rFonts w:ascii="Times New Roman" w:hAnsi="Times New Roman" w:cs="Times New Roman"/>
          <w:sz w:val="24"/>
          <w:szCs w:val="24"/>
        </w:rPr>
        <w:t xml:space="preserve">threatening their long-term financial solvency, </w:t>
      </w:r>
      <w:r w:rsidR="00884D89">
        <w:rPr>
          <w:rFonts w:ascii="Times New Roman" w:hAnsi="Times New Roman" w:cs="Times New Roman"/>
          <w:sz w:val="24"/>
          <w:szCs w:val="24"/>
        </w:rPr>
        <w:t>crowd</w:t>
      </w:r>
      <w:r w:rsidR="00DF3537">
        <w:rPr>
          <w:rFonts w:ascii="Times New Roman" w:hAnsi="Times New Roman" w:cs="Times New Roman"/>
          <w:sz w:val="24"/>
          <w:szCs w:val="24"/>
        </w:rPr>
        <w:t>ing</w:t>
      </w:r>
      <w:r w:rsidR="003E602D">
        <w:rPr>
          <w:rFonts w:ascii="Times New Roman" w:hAnsi="Times New Roman" w:cs="Times New Roman"/>
          <w:sz w:val="24"/>
          <w:szCs w:val="24"/>
        </w:rPr>
        <w:t>-</w:t>
      </w:r>
      <w:r w:rsidR="00884D89">
        <w:rPr>
          <w:rFonts w:ascii="Times New Roman" w:hAnsi="Times New Roman" w:cs="Times New Roman"/>
          <w:sz w:val="24"/>
          <w:szCs w:val="24"/>
        </w:rPr>
        <w:t>out resources for other public services, necessitat</w:t>
      </w:r>
      <w:r w:rsidR="00DF3537">
        <w:rPr>
          <w:rFonts w:ascii="Times New Roman" w:hAnsi="Times New Roman" w:cs="Times New Roman"/>
          <w:sz w:val="24"/>
          <w:szCs w:val="24"/>
        </w:rPr>
        <w:t>ing</w:t>
      </w:r>
      <w:r w:rsidR="00884D89">
        <w:rPr>
          <w:rFonts w:ascii="Times New Roman" w:hAnsi="Times New Roman" w:cs="Times New Roman"/>
          <w:sz w:val="24"/>
          <w:szCs w:val="24"/>
        </w:rPr>
        <w:t xml:space="preserve"> tax increases, </w:t>
      </w:r>
      <w:r w:rsidR="00DD77E6">
        <w:rPr>
          <w:rFonts w:ascii="Times New Roman" w:hAnsi="Times New Roman" w:cs="Times New Roman"/>
          <w:sz w:val="24"/>
          <w:szCs w:val="24"/>
        </w:rPr>
        <w:t xml:space="preserve">and </w:t>
      </w:r>
      <w:r w:rsidR="006D7ECD">
        <w:rPr>
          <w:rFonts w:ascii="Times New Roman" w:hAnsi="Times New Roman" w:cs="Times New Roman"/>
          <w:sz w:val="24"/>
          <w:szCs w:val="24"/>
        </w:rPr>
        <w:t>damaging</w:t>
      </w:r>
      <w:r w:rsidR="00884D89">
        <w:rPr>
          <w:rFonts w:ascii="Times New Roman" w:hAnsi="Times New Roman" w:cs="Times New Roman"/>
          <w:sz w:val="24"/>
          <w:szCs w:val="24"/>
        </w:rPr>
        <w:t xml:space="preserve"> governments’ </w:t>
      </w:r>
      <w:r w:rsidR="006D7ECD">
        <w:rPr>
          <w:rFonts w:ascii="Times New Roman" w:hAnsi="Times New Roman" w:cs="Times New Roman"/>
          <w:sz w:val="24"/>
          <w:szCs w:val="24"/>
        </w:rPr>
        <w:t>ability to borrow capital resources. That p</w:t>
      </w:r>
      <w:r w:rsidR="00DF3537">
        <w:rPr>
          <w:rFonts w:ascii="Times New Roman" w:hAnsi="Times New Roman" w:cs="Times New Roman"/>
          <w:sz w:val="24"/>
          <w:szCs w:val="24"/>
        </w:rPr>
        <w:t>osition lends</w:t>
      </w:r>
      <w:r w:rsidR="00884D89">
        <w:rPr>
          <w:rFonts w:ascii="Times New Roman" w:hAnsi="Times New Roman" w:cs="Times New Roman"/>
          <w:sz w:val="24"/>
          <w:szCs w:val="24"/>
        </w:rPr>
        <w:t xml:space="preserve"> support to those who </w:t>
      </w:r>
      <w:r w:rsidR="003E602D">
        <w:rPr>
          <w:rFonts w:ascii="Times New Roman" w:hAnsi="Times New Roman" w:cs="Times New Roman"/>
          <w:sz w:val="24"/>
          <w:szCs w:val="24"/>
        </w:rPr>
        <w:t>want to</w:t>
      </w:r>
      <w:r w:rsidR="006D7ECD">
        <w:rPr>
          <w:rFonts w:ascii="Times New Roman" w:hAnsi="Times New Roman" w:cs="Times New Roman"/>
          <w:sz w:val="24"/>
          <w:szCs w:val="24"/>
        </w:rPr>
        <w:t xml:space="preserve"> reform public pensions by</w:t>
      </w:r>
      <w:r w:rsidR="003E602D">
        <w:rPr>
          <w:rFonts w:ascii="Times New Roman" w:hAnsi="Times New Roman" w:cs="Times New Roman"/>
          <w:sz w:val="24"/>
          <w:szCs w:val="24"/>
        </w:rPr>
        <w:t xml:space="preserve"> reduc</w:t>
      </w:r>
      <w:r w:rsidR="006D7ECD">
        <w:rPr>
          <w:rFonts w:ascii="Times New Roman" w:hAnsi="Times New Roman" w:cs="Times New Roman"/>
          <w:sz w:val="24"/>
          <w:szCs w:val="24"/>
        </w:rPr>
        <w:t>ing</w:t>
      </w:r>
      <w:r w:rsidR="003E602D">
        <w:rPr>
          <w:rFonts w:ascii="Times New Roman" w:hAnsi="Times New Roman" w:cs="Times New Roman"/>
          <w:sz w:val="24"/>
          <w:szCs w:val="24"/>
        </w:rPr>
        <w:t xml:space="preserve"> </w:t>
      </w:r>
      <w:r w:rsidR="00DD77E6">
        <w:rPr>
          <w:rFonts w:ascii="Times New Roman" w:hAnsi="Times New Roman" w:cs="Times New Roman"/>
          <w:sz w:val="24"/>
          <w:szCs w:val="24"/>
        </w:rPr>
        <w:t xml:space="preserve">pension benefits </w:t>
      </w:r>
      <w:r w:rsidR="003E602D">
        <w:rPr>
          <w:rFonts w:ascii="Times New Roman" w:hAnsi="Times New Roman" w:cs="Times New Roman"/>
          <w:sz w:val="24"/>
          <w:szCs w:val="24"/>
        </w:rPr>
        <w:t>and potentially clos</w:t>
      </w:r>
      <w:r w:rsidR="006D7ECD">
        <w:rPr>
          <w:rFonts w:ascii="Times New Roman" w:hAnsi="Times New Roman" w:cs="Times New Roman"/>
          <w:sz w:val="24"/>
          <w:szCs w:val="24"/>
        </w:rPr>
        <w:t>ing</w:t>
      </w:r>
      <w:r w:rsidR="003E602D">
        <w:rPr>
          <w:rFonts w:ascii="Times New Roman" w:hAnsi="Times New Roman" w:cs="Times New Roman"/>
          <w:sz w:val="24"/>
          <w:szCs w:val="24"/>
        </w:rPr>
        <w:t xml:space="preserve"> traditional pension </w:t>
      </w:r>
      <w:r w:rsidR="00DF3537">
        <w:rPr>
          <w:rFonts w:ascii="Times New Roman" w:hAnsi="Times New Roman" w:cs="Times New Roman"/>
          <w:sz w:val="24"/>
          <w:szCs w:val="24"/>
        </w:rPr>
        <w:t>plans</w:t>
      </w:r>
      <w:r w:rsidR="003E602D">
        <w:rPr>
          <w:rFonts w:ascii="Times New Roman" w:hAnsi="Times New Roman" w:cs="Times New Roman"/>
          <w:sz w:val="24"/>
          <w:szCs w:val="24"/>
        </w:rPr>
        <w:t xml:space="preserve"> in </w:t>
      </w:r>
      <w:r w:rsidR="00884D89">
        <w:rPr>
          <w:rFonts w:ascii="Times New Roman" w:hAnsi="Times New Roman" w:cs="Times New Roman"/>
          <w:sz w:val="24"/>
          <w:szCs w:val="24"/>
        </w:rPr>
        <w:t>favor of defined contribution</w:t>
      </w:r>
      <w:r w:rsidR="00A16FFE">
        <w:rPr>
          <w:rFonts w:ascii="Times New Roman" w:hAnsi="Times New Roman" w:cs="Times New Roman"/>
          <w:sz w:val="24"/>
          <w:szCs w:val="24"/>
        </w:rPr>
        <w:t xml:space="preserve"> plan</w:t>
      </w:r>
      <w:r w:rsidR="00DF3537">
        <w:rPr>
          <w:rFonts w:ascii="Times New Roman" w:hAnsi="Times New Roman" w:cs="Times New Roman"/>
          <w:sz w:val="24"/>
          <w:szCs w:val="24"/>
        </w:rPr>
        <w:t>s</w:t>
      </w:r>
      <w:r w:rsidR="00884D89">
        <w:rPr>
          <w:rFonts w:ascii="Times New Roman" w:hAnsi="Times New Roman" w:cs="Times New Roman"/>
          <w:sz w:val="24"/>
          <w:szCs w:val="24"/>
        </w:rPr>
        <w:t>.</w:t>
      </w:r>
    </w:p>
    <w:p w14:paraId="6FB20FEF" w14:textId="7A65728F" w:rsidR="00097AC9" w:rsidRDefault="00BA55E4" w:rsidP="00931FAC">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Given the </w:t>
      </w:r>
      <w:r w:rsidR="00076807">
        <w:rPr>
          <w:rFonts w:ascii="Times New Roman" w:hAnsi="Times New Roman" w:cs="Times New Roman"/>
          <w:sz w:val="24"/>
          <w:szCs w:val="24"/>
        </w:rPr>
        <w:t xml:space="preserve">importance of unfunded liabilities in public policy debates, </w:t>
      </w:r>
      <w:r w:rsidR="00F30424">
        <w:rPr>
          <w:rFonts w:ascii="Times New Roman" w:hAnsi="Times New Roman" w:cs="Times New Roman"/>
          <w:sz w:val="24"/>
          <w:szCs w:val="24"/>
        </w:rPr>
        <w:t xml:space="preserve">it </w:t>
      </w:r>
      <w:r w:rsidR="00076807">
        <w:rPr>
          <w:rFonts w:ascii="Times New Roman" w:hAnsi="Times New Roman" w:cs="Times New Roman"/>
          <w:sz w:val="24"/>
          <w:szCs w:val="24"/>
        </w:rPr>
        <w:t xml:space="preserve">should </w:t>
      </w:r>
      <w:r w:rsidR="00F30424">
        <w:rPr>
          <w:rFonts w:ascii="Times New Roman" w:hAnsi="Times New Roman" w:cs="Times New Roman"/>
          <w:sz w:val="24"/>
          <w:szCs w:val="24"/>
        </w:rPr>
        <w:t xml:space="preserve">not </w:t>
      </w:r>
      <w:r w:rsidR="00076807">
        <w:rPr>
          <w:rFonts w:ascii="Times New Roman" w:hAnsi="Times New Roman" w:cs="Times New Roman"/>
          <w:sz w:val="24"/>
          <w:szCs w:val="24"/>
        </w:rPr>
        <w:t xml:space="preserve">be </w:t>
      </w:r>
      <w:r w:rsidR="00F30424">
        <w:rPr>
          <w:rFonts w:ascii="Times New Roman" w:hAnsi="Times New Roman" w:cs="Times New Roman"/>
          <w:sz w:val="24"/>
          <w:szCs w:val="24"/>
        </w:rPr>
        <w:t xml:space="preserve">surprising that there is substantial disagreement on </w:t>
      </w:r>
      <w:r w:rsidR="00097AC9">
        <w:rPr>
          <w:rFonts w:ascii="Times New Roman" w:hAnsi="Times New Roman" w:cs="Times New Roman"/>
          <w:sz w:val="24"/>
          <w:szCs w:val="24"/>
        </w:rPr>
        <w:t>the scope of the problem</w:t>
      </w:r>
      <w:r w:rsidR="00FD3C1A">
        <w:rPr>
          <w:rFonts w:ascii="Times New Roman" w:hAnsi="Times New Roman" w:cs="Times New Roman"/>
          <w:sz w:val="24"/>
          <w:szCs w:val="24"/>
        </w:rPr>
        <w:t>. T</w:t>
      </w:r>
      <w:r w:rsidR="00F30424">
        <w:rPr>
          <w:rFonts w:ascii="Times New Roman" w:hAnsi="Times New Roman" w:cs="Times New Roman"/>
          <w:sz w:val="24"/>
          <w:szCs w:val="24"/>
        </w:rPr>
        <w:t xml:space="preserve">he Pew Center on </w:t>
      </w:r>
      <w:r w:rsidR="00FD3C1A">
        <w:rPr>
          <w:rFonts w:ascii="Times New Roman" w:hAnsi="Times New Roman" w:cs="Times New Roman"/>
          <w:sz w:val="24"/>
          <w:szCs w:val="24"/>
        </w:rPr>
        <w:t>t</w:t>
      </w:r>
      <w:r>
        <w:rPr>
          <w:rFonts w:ascii="Times New Roman" w:hAnsi="Times New Roman" w:cs="Times New Roman"/>
          <w:sz w:val="24"/>
          <w:szCs w:val="24"/>
        </w:rPr>
        <w:t>he States (2012)</w:t>
      </w:r>
      <w:r w:rsidR="00FD3C1A">
        <w:rPr>
          <w:rFonts w:ascii="Times New Roman" w:hAnsi="Times New Roman" w:cs="Times New Roman"/>
          <w:sz w:val="24"/>
          <w:szCs w:val="24"/>
        </w:rPr>
        <w:t>, for example, used government reports to</w:t>
      </w:r>
      <w:r>
        <w:rPr>
          <w:rFonts w:ascii="Times New Roman" w:hAnsi="Times New Roman" w:cs="Times New Roman"/>
          <w:sz w:val="24"/>
          <w:szCs w:val="24"/>
        </w:rPr>
        <w:t xml:space="preserve"> estimate</w:t>
      </w:r>
      <w:r w:rsidR="00097AC9">
        <w:rPr>
          <w:rFonts w:ascii="Times New Roman" w:hAnsi="Times New Roman" w:cs="Times New Roman"/>
          <w:sz w:val="24"/>
          <w:szCs w:val="24"/>
        </w:rPr>
        <w:t xml:space="preserve"> that</w:t>
      </w:r>
      <w:r w:rsidR="00F30424">
        <w:rPr>
          <w:rFonts w:ascii="Times New Roman" w:hAnsi="Times New Roman" w:cs="Times New Roman"/>
          <w:sz w:val="24"/>
          <w:szCs w:val="24"/>
        </w:rPr>
        <w:t xml:space="preserve"> the total size of unfunded state pension liabilities </w:t>
      </w:r>
      <w:r w:rsidR="00874205">
        <w:rPr>
          <w:rFonts w:ascii="Times New Roman" w:hAnsi="Times New Roman" w:cs="Times New Roman"/>
          <w:sz w:val="24"/>
          <w:szCs w:val="24"/>
        </w:rPr>
        <w:t xml:space="preserve">in 2010 </w:t>
      </w:r>
      <w:r w:rsidR="00097AC9">
        <w:rPr>
          <w:rFonts w:ascii="Times New Roman" w:hAnsi="Times New Roman" w:cs="Times New Roman"/>
          <w:sz w:val="24"/>
          <w:szCs w:val="24"/>
        </w:rPr>
        <w:t>was</w:t>
      </w:r>
      <w:r w:rsidR="00874205">
        <w:rPr>
          <w:rFonts w:ascii="Times New Roman" w:hAnsi="Times New Roman" w:cs="Times New Roman"/>
          <w:sz w:val="24"/>
          <w:szCs w:val="24"/>
        </w:rPr>
        <w:t xml:space="preserve"> </w:t>
      </w:r>
      <w:r w:rsidR="00F30424">
        <w:rPr>
          <w:rFonts w:ascii="Times New Roman" w:hAnsi="Times New Roman" w:cs="Times New Roman"/>
          <w:sz w:val="24"/>
          <w:szCs w:val="24"/>
        </w:rPr>
        <w:t xml:space="preserve">$757 billion. </w:t>
      </w:r>
      <w:r w:rsidR="00874205">
        <w:rPr>
          <w:rFonts w:ascii="Times New Roman" w:hAnsi="Times New Roman" w:cs="Times New Roman"/>
          <w:sz w:val="24"/>
          <w:szCs w:val="24"/>
        </w:rPr>
        <w:t xml:space="preserve">A few years later, </w:t>
      </w:r>
      <w:proofErr w:type="spellStart"/>
      <w:r w:rsidR="00F30424">
        <w:rPr>
          <w:rFonts w:ascii="Times New Roman" w:hAnsi="Times New Roman" w:cs="Times New Roman"/>
          <w:sz w:val="24"/>
          <w:szCs w:val="24"/>
        </w:rPr>
        <w:t>Munnell</w:t>
      </w:r>
      <w:proofErr w:type="spellEnd"/>
      <w:r w:rsidR="00F30424">
        <w:rPr>
          <w:rFonts w:ascii="Times New Roman" w:hAnsi="Times New Roman" w:cs="Times New Roman"/>
          <w:sz w:val="24"/>
          <w:szCs w:val="24"/>
        </w:rPr>
        <w:t xml:space="preserve"> et al. (2013)</w:t>
      </w:r>
      <w:r w:rsidR="00FD3C1A">
        <w:rPr>
          <w:rFonts w:ascii="Times New Roman" w:hAnsi="Times New Roman" w:cs="Times New Roman"/>
          <w:sz w:val="24"/>
          <w:szCs w:val="24"/>
        </w:rPr>
        <w:t xml:space="preserve"> also used government</w:t>
      </w:r>
      <w:r w:rsidR="00DD77E6">
        <w:rPr>
          <w:rFonts w:ascii="Times New Roman" w:hAnsi="Times New Roman" w:cs="Times New Roman"/>
          <w:sz w:val="24"/>
          <w:szCs w:val="24"/>
        </w:rPr>
        <w:t xml:space="preserve"> reported</w:t>
      </w:r>
      <w:r w:rsidR="00FD3C1A">
        <w:rPr>
          <w:rFonts w:ascii="Times New Roman" w:hAnsi="Times New Roman" w:cs="Times New Roman"/>
          <w:sz w:val="24"/>
          <w:szCs w:val="24"/>
        </w:rPr>
        <w:t xml:space="preserve"> </w:t>
      </w:r>
      <w:r w:rsidR="00DF3537">
        <w:rPr>
          <w:rFonts w:ascii="Times New Roman" w:hAnsi="Times New Roman" w:cs="Times New Roman"/>
          <w:sz w:val="24"/>
          <w:szCs w:val="24"/>
        </w:rPr>
        <w:t>figures</w:t>
      </w:r>
      <w:r w:rsidR="00FD3C1A">
        <w:rPr>
          <w:rFonts w:ascii="Times New Roman" w:hAnsi="Times New Roman" w:cs="Times New Roman"/>
          <w:sz w:val="24"/>
          <w:szCs w:val="24"/>
        </w:rPr>
        <w:t xml:space="preserve"> to</w:t>
      </w:r>
      <w:r w:rsidR="00F30424">
        <w:rPr>
          <w:rFonts w:ascii="Times New Roman" w:hAnsi="Times New Roman" w:cs="Times New Roman"/>
          <w:sz w:val="24"/>
          <w:szCs w:val="24"/>
        </w:rPr>
        <w:t xml:space="preserve"> estimate the total unfunded liability to be about $1 trillion. </w:t>
      </w:r>
      <w:r w:rsidR="00DD77E6">
        <w:rPr>
          <w:rFonts w:ascii="Times New Roman" w:hAnsi="Times New Roman" w:cs="Times New Roman"/>
          <w:sz w:val="24"/>
          <w:szCs w:val="24"/>
        </w:rPr>
        <w:t xml:space="preserve">Government reports are widely accepted. </w:t>
      </w:r>
      <w:r w:rsidR="00F30424">
        <w:rPr>
          <w:rFonts w:ascii="Times New Roman" w:hAnsi="Times New Roman" w:cs="Times New Roman"/>
          <w:sz w:val="24"/>
          <w:szCs w:val="24"/>
        </w:rPr>
        <w:t>The American Federati</w:t>
      </w:r>
      <w:r w:rsidR="00DF3537">
        <w:rPr>
          <w:rFonts w:ascii="Times New Roman" w:hAnsi="Times New Roman" w:cs="Times New Roman"/>
          <w:sz w:val="24"/>
          <w:szCs w:val="24"/>
        </w:rPr>
        <w:t>on of State, County and</w:t>
      </w:r>
      <w:r w:rsidR="00F30424">
        <w:rPr>
          <w:rFonts w:ascii="Times New Roman" w:hAnsi="Times New Roman" w:cs="Times New Roman"/>
          <w:sz w:val="24"/>
          <w:szCs w:val="24"/>
        </w:rPr>
        <w:t xml:space="preserve"> Municipal Employees (AFSCME 2014) supports claims th</w:t>
      </w:r>
      <w:r w:rsidR="00714710">
        <w:rPr>
          <w:rFonts w:ascii="Times New Roman" w:hAnsi="Times New Roman" w:cs="Times New Roman"/>
          <w:sz w:val="24"/>
          <w:szCs w:val="24"/>
        </w:rPr>
        <w:t>at</w:t>
      </w:r>
      <w:r w:rsidR="00F30424">
        <w:rPr>
          <w:rFonts w:ascii="Times New Roman" w:hAnsi="Times New Roman" w:cs="Times New Roman"/>
          <w:sz w:val="24"/>
          <w:szCs w:val="24"/>
        </w:rPr>
        <w:t xml:space="preserve"> total unfunded liabilities are between $500 billion and $1 trillion. </w:t>
      </w:r>
    </w:p>
    <w:p w14:paraId="296F1552" w14:textId="619CB84C" w:rsidR="00874205" w:rsidRDefault="00097AC9" w:rsidP="00097AC9">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Others disagree with the way governments calculate their liabilities and claim that unfunded liabilities are significantly higher. </w:t>
      </w:r>
      <w:proofErr w:type="spellStart"/>
      <w:r w:rsidR="00F30424">
        <w:rPr>
          <w:rFonts w:ascii="Times New Roman" w:hAnsi="Times New Roman" w:cs="Times New Roman"/>
          <w:sz w:val="24"/>
          <w:szCs w:val="24"/>
        </w:rPr>
        <w:t>Novy</w:t>
      </w:r>
      <w:proofErr w:type="spellEnd"/>
      <w:r w:rsidR="00F30424">
        <w:rPr>
          <w:rFonts w:ascii="Times New Roman" w:hAnsi="Times New Roman" w:cs="Times New Roman"/>
          <w:sz w:val="24"/>
          <w:szCs w:val="24"/>
        </w:rPr>
        <w:t xml:space="preserve">-Marx and </w:t>
      </w:r>
      <w:proofErr w:type="spellStart"/>
      <w:r w:rsidR="00F30424">
        <w:rPr>
          <w:rFonts w:ascii="Times New Roman" w:hAnsi="Times New Roman" w:cs="Times New Roman"/>
          <w:sz w:val="24"/>
          <w:szCs w:val="24"/>
        </w:rPr>
        <w:t>Rauh</w:t>
      </w:r>
      <w:proofErr w:type="spellEnd"/>
      <w:r w:rsidR="00F30424">
        <w:rPr>
          <w:rFonts w:ascii="Times New Roman" w:hAnsi="Times New Roman" w:cs="Times New Roman"/>
          <w:sz w:val="24"/>
          <w:szCs w:val="24"/>
        </w:rPr>
        <w:t xml:space="preserve"> (2011) </w:t>
      </w:r>
      <w:r w:rsidR="00FD3C1A">
        <w:rPr>
          <w:rFonts w:ascii="Times New Roman" w:hAnsi="Times New Roman" w:cs="Times New Roman"/>
          <w:sz w:val="24"/>
          <w:szCs w:val="24"/>
        </w:rPr>
        <w:t xml:space="preserve">used more </w:t>
      </w:r>
      <w:r w:rsidR="00FD3C1A">
        <w:rPr>
          <w:rFonts w:ascii="Times New Roman" w:hAnsi="Times New Roman" w:cs="Times New Roman"/>
          <w:sz w:val="24"/>
          <w:szCs w:val="24"/>
        </w:rPr>
        <w:lastRenderedPageBreak/>
        <w:t xml:space="preserve">conservative actuarial assumptions </w:t>
      </w:r>
      <w:r w:rsidR="00714710">
        <w:rPr>
          <w:rFonts w:ascii="Times New Roman" w:hAnsi="Times New Roman" w:cs="Times New Roman"/>
          <w:sz w:val="24"/>
          <w:szCs w:val="24"/>
        </w:rPr>
        <w:t xml:space="preserve">(i.e., lower discount rates) to </w:t>
      </w:r>
      <w:r w:rsidR="00FD3C1A">
        <w:rPr>
          <w:rFonts w:ascii="Times New Roman" w:hAnsi="Times New Roman" w:cs="Times New Roman"/>
          <w:sz w:val="24"/>
          <w:szCs w:val="24"/>
        </w:rPr>
        <w:t>estimate th</w:t>
      </w:r>
      <w:r>
        <w:rPr>
          <w:rFonts w:ascii="Times New Roman" w:hAnsi="Times New Roman" w:cs="Times New Roman"/>
          <w:sz w:val="24"/>
          <w:szCs w:val="24"/>
        </w:rPr>
        <w:t>at</w:t>
      </w:r>
      <w:r w:rsidR="00F30424">
        <w:rPr>
          <w:rFonts w:ascii="Times New Roman" w:hAnsi="Times New Roman" w:cs="Times New Roman"/>
          <w:sz w:val="24"/>
          <w:szCs w:val="24"/>
        </w:rPr>
        <w:t xml:space="preserve"> unfunded liabilities </w:t>
      </w:r>
      <w:r>
        <w:rPr>
          <w:rFonts w:ascii="Times New Roman" w:hAnsi="Times New Roman" w:cs="Times New Roman"/>
          <w:sz w:val="24"/>
          <w:szCs w:val="24"/>
        </w:rPr>
        <w:t>are</w:t>
      </w:r>
      <w:r w:rsidR="00F30424">
        <w:rPr>
          <w:rFonts w:ascii="Times New Roman" w:hAnsi="Times New Roman" w:cs="Times New Roman"/>
          <w:sz w:val="24"/>
          <w:szCs w:val="24"/>
        </w:rPr>
        <w:t xml:space="preserve"> closer to $3 </w:t>
      </w:r>
      <w:r w:rsidR="008965C1">
        <w:rPr>
          <w:rFonts w:ascii="Times New Roman" w:hAnsi="Times New Roman" w:cs="Times New Roman"/>
          <w:sz w:val="24"/>
          <w:szCs w:val="24"/>
        </w:rPr>
        <w:t>tr</w:t>
      </w:r>
      <w:r w:rsidR="00F30424">
        <w:rPr>
          <w:rFonts w:ascii="Times New Roman" w:hAnsi="Times New Roman" w:cs="Times New Roman"/>
          <w:sz w:val="24"/>
          <w:szCs w:val="24"/>
        </w:rPr>
        <w:t>illion. Biggs (2012)</w:t>
      </w:r>
      <w:r w:rsidR="00FD3C1A">
        <w:rPr>
          <w:rFonts w:ascii="Times New Roman" w:hAnsi="Times New Roman" w:cs="Times New Roman"/>
          <w:sz w:val="24"/>
          <w:szCs w:val="24"/>
        </w:rPr>
        <w:t xml:space="preserve"> used a market</w:t>
      </w:r>
      <w:r w:rsidR="00EA1B2B">
        <w:rPr>
          <w:rFonts w:ascii="Times New Roman" w:hAnsi="Times New Roman" w:cs="Times New Roman"/>
          <w:sz w:val="24"/>
          <w:szCs w:val="24"/>
        </w:rPr>
        <w:t>-</w:t>
      </w:r>
      <w:r w:rsidR="00FD3C1A">
        <w:rPr>
          <w:rFonts w:ascii="Times New Roman" w:hAnsi="Times New Roman" w:cs="Times New Roman"/>
          <w:sz w:val="24"/>
          <w:szCs w:val="24"/>
        </w:rPr>
        <w:t xml:space="preserve">value approach to </w:t>
      </w:r>
      <w:r w:rsidR="00F30424">
        <w:rPr>
          <w:rFonts w:ascii="Times New Roman" w:hAnsi="Times New Roman" w:cs="Times New Roman"/>
          <w:sz w:val="24"/>
          <w:szCs w:val="24"/>
        </w:rPr>
        <w:t xml:space="preserve">put the </w:t>
      </w:r>
      <w:r w:rsidR="00BA55E4">
        <w:rPr>
          <w:rFonts w:ascii="Times New Roman" w:hAnsi="Times New Roman" w:cs="Times New Roman"/>
          <w:sz w:val="24"/>
          <w:szCs w:val="24"/>
        </w:rPr>
        <w:t xml:space="preserve">total </w:t>
      </w:r>
      <w:r w:rsidR="00F30424">
        <w:rPr>
          <w:rFonts w:ascii="Times New Roman" w:hAnsi="Times New Roman" w:cs="Times New Roman"/>
          <w:sz w:val="24"/>
          <w:szCs w:val="24"/>
        </w:rPr>
        <w:t xml:space="preserve">unfunded liability </w:t>
      </w:r>
      <w:r w:rsidR="00874205">
        <w:rPr>
          <w:rFonts w:ascii="Times New Roman" w:hAnsi="Times New Roman" w:cs="Times New Roman"/>
          <w:sz w:val="24"/>
          <w:szCs w:val="24"/>
        </w:rPr>
        <w:t>at approximately</w:t>
      </w:r>
      <w:r w:rsidR="00F30424">
        <w:rPr>
          <w:rFonts w:ascii="Times New Roman" w:hAnsi="Times New Roman" w:cs="Times New Roman"/>
          <w:sz w:val="24"/>
          <w:szCs w:val="24"/>
        </w:rPr>
        <w:t xml:space="preserve"> $4.6 trillion.</w:t>
      </w:r>
      <w:r w:rsidR="00BB040D">
        <w:rPr>
          <w:rFonts w:ascii="Times New Roman" w:hAnsi="Times New Roman" w:cs="Times New Roman"/>
          <w:sz w:val="24"/>
          <w:szCs w:val="24"/>
        </w:rPr>
        <w:t xml:space="preserve"> </w:t>
      </w:r>
      <w:r>
        <w:rPr>
          <w:rFonts w:ascii="Times New Roman" w:hAnsi="Times New Roman" w:cs="Times New Roman"/>
          <w:sz w:val="24"/>
          <w:szCs w:val="24"/>
        </w:rPr>
        <w:t>T</w:t>
      </w:r>
      <w:r w:rsidR="00874205">
        <w:rPr>
          <w:rFonts w:ascii="Times New Roman" w:hAnsi="Times New Roman" w:cs="Times New Roman"/>
          <w:sz w:val="24"/>
          <w:szCs w:val="24"/>
        </w:rPr>
        <w:t xml:space="preserve">he significant disparity between government figures and those calculated by </w:t>
      </w:r>
      <w:proofErr w:type="spellStart"/>
      <w:r w:rsidR="00874205">
        <w:rPr>
          <w:rFonts w:ascii="Times New Roman" w:hAnsi="Times New Roman" w:cs="Times New Roman"/>
          <w:sz w:val="24"/>
          <w:szCs w:val="24"/>
        </w:rPr>
        <w:t>Novy</w:t>
      </w:r>
      <w:proofErr w:type="spellEnd"/>
      <w:r w:rsidR="00874205">
        <w:rPr>
          <w:rFonts w:ascii="Times New Roman" w:hAnsi="Times New Roman" w:cs="Times New Roman"/>
          <w:sz w:val="24"/>
          <w:szCs w:val="24"/>
        </w:rPr>
        <w:t xml:space="preserve">-Marx and </w:t>
      </w:r>
      <w:proofErr w:type="spellStart"/>
      <w:r w:rsidR="00874205">
        <w:rPr>
          <w:rFonts w:ascii="Times New Roman" w:hAnsi="Times New Roman" w:cs="Times New Roman"/>
          <w:sz w:val="24"/>
          <w:szCs w:val="24"/>
        </w:rPr>
        <w:t>Rauh</w:t>
      </w:r>
      <w:proofErr w:type="spellEnd"/>
      <w:r w:rsidR="00874205">
        <w:rPr>
          <w:rFonts w:ascii="Times New Roman" w:hAnsi="Times New Roman" w:cs="Times New Roman"/>
          <w:sz w:val="24"/>
          <w:szCs w:val="24"/>
        </w:rPr>
        <w:t xml:space="preserve"> (2011) and Biggs (2012) show</w:t>
      </w:r>
      <w:r w:rsidR="00714710">
        <w:rPr>
          <w:rFonts w:ascii="Times New Roman" w:hAnsi="Times New Roman" w:cs="Times New Roman"/>
          <w:sz w:val="24"/>
          <w:szCs w:val="24"/>
        </w:rPr>
        <w:t>s</w:t>
      </w:r>
      <w:r>
        <w:rPr>
          <w:rFonts w:ascii="Times New Roman" w:hAnsi="Times New Roman" w:cs="Times New Roman"/>
          <w:sz w:val="24"/>
          <w:szCs w:val="24"/>
        </w:rPr>
        <w:t xml:space="preserve"> the</w:t>
      </w:r>
      <w:r w:rsidR="00874205">
        <w:rPr>
          <w:rFonts w:ascii="Times New Roman" w:hAnsi="Times New Roman" w:cs="Times New Roman"/>
          <w:sz w:val="24"/>
          <w:szCs w:val="24"/>
        </w:rPr>
        <w:t xml:space="preserve"> effect </w:t>
      </w:r>
      <w:r>
        <w:rPr>
          <w:rFonts w:ascii="Times New Roman" w:hAnsi="Times New Roman" w:cs="Times New Roman"/>
          <w:sz w:val="24"/>
          <w:szCs w:val="24"/>
        </w:rPr>
        <w:t>that calculation methods have on measures of the</w:t>
      </w:r>
      <w:r w:rsidR="00874205">
        <w:rPr>
          <w:rFonts w:ascii="Times New Roman" w:hAnsi="Times New Roman" w:cs="Times New Roman"/>
          <w:sz w:val="24"/>
          <w:szCs w:val="24"/>
        </w:rPr>
        <w:t xml:space="preserve"> financial condition of public pensions. </w:t>
      </w:r>
    </w:p>
    <w:p w14:paraId="18CF0C13" w14:textId="6E2C1FC7" w:rsidR="00931FAC" w:rsidRDefault="00FD3C1A" w:rsidP="00931FAC">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Different </w:t>
      </w:r>
      <w:r w:rsidR="00097AC9">
        <w:rPr>
          <w:rFonts w:ascii="Times New Roman" w:hAnsi="Times New Roman" w:cs="Times New Roman"/>
          <w:sz w:val="24"/>
          <w:szCs w:val="24"/>
        </w:rPr>
        <w:t xml:space="preserve">liability </w:t>
      </w:r>
      <w:r>
        <w:rPr>
          <w:rFonts w:ascii="Times New Roman" w:hAnsi="Times New Roman" w:cs="Times New Roman"/>
          <w:sz w:val="24"/>
          <w:szCs w:val="24"/>
        </w:rPr>
        <w:t>calculation</w:t>
      </w:r>
      <w:r w:rsidR="00874205">
        <w:rPr>
          <w:rFonts w:ascii="Times New Roman" w:hAnsi="Times New Roman" w:cs="Times New Roman"/>
          <w:sz w:val="24"/>
          <w:szCs w:val="24"/>
        </w:rPr>
        <w:t>s</w:t>
      </w:r>
      <w:r>
        <w:rPr>
          <w:rFonts w:ascii="Times New Roman" w:hAnsi="Times New Roman" w:cs="Times New Roman"/>
          <w:sz w:val="24"/>
          <w:szCs w:val="24"/>
        </w:rPr>
        <w:t xml:space="preserve"> are possible because </w:t>
      </w:r>
      <w:r w:rsidR="00931FAC">
        <w:rPr>
          <w:rFonts w:ascii="Times New Roman" w:hAnsi="Times New Roman" w:cs="Times New Roman"/>
          <w:sz w:val="24"/>
          <w:szCs w:val="24"/>
        </w:rPr>
        <w:t>the</w:t>
      </w:r>
      <w:r w:rsidR="00F30424" w:rsidRPr="003B102B">
        <w:rPr>
          <w:rFonts w:ascii="Times New Roman" w:hAnsi="Times New Roman" w:cs="Times New Roman"/>
          <w:sz w:val="24"/>
          <w:szCs w:val="24"/>
        </w:rPr>
        <w:t xml:space="preserve"> </w:t>
      </w:r>
      <w:r>
        <w:rPr>
          <w:rFonts w:ascii="Times New Roman" w:hAnsi="Times New Roman" w:cs="Times New Roman"/>
          <w:sz w:val="24"/>
          <w:szCs w:val="24"/>
        </w:rPr>
        <w:t>actual</w:t>
      </w:r>
      <w:r w:rsidR="00FE0590">
        <w:rPr>
          <w:rFonts w:ascii="Times New Roman" w:hAnsi="Times New Roman" w:cs="Times New Roman"/>
          <w:sz w:val="24"/>
          <w:szCs w:val="24"/>
        </w:rPr>
        <w:t xml:space="preserve"> size of pension liabilities</w:t>
      </w:r>
      <w:r>
        <w:rPr>
          <w:rFonts w:ascii="Times New Roman" w:hAnsi="Times New Roman" w:cs="Times New Roman"/>
          <w:sz w:val="24"/>
          <w:szCs w:val="24"/>
        </w:rPr>
        <w:t xml:space="preserve"> is </w:t>
      </w:r>
      <w:r w:rsidR="00F30424" w:rsidRPr="003B102B">
        <w:rPr>
          <w:rFonts w:ascii="Times New Roman" w:hAnsi="Times New Roman" w:cs="Times New Roman"/>
          <w:sz w:val="24"/>
          <w:szCs w:val="24"/>
        </w:rPr>
        <w:t>fundamentally unknowa</w:t>
      </w:r>
      <w:r w:rsidR="00F30424">
        <w:rPr>
          <w:rFonts w:ascii="Times New Roman" w:hAnsi="Times New Roman" w:cs="Times New Roman"/>
          <w:sz w:val="24"/>
          <w:szCs w:val="24"/>
        </w:rPr>
        <w:t>ble</w:t>
      </w:r>
      <w:r>
        <w:rPr>
          <w:rFonts w:ascii="Times New Roman" w:hAnsi="Times New Roman" w:cs="Times New Roman"/>
          <w:sz w:val="24"/>
          <w:szCs w:val="24"/>
        </w:rPr>
        <w:t xml:space="preserve">. </w:t>
      </w:r>
      <w:r w:rsidR="00EA1B2B">
        <w:rPr>
          <w:rFonts w:ascii="Times New Roman" w:hAnsi="Times New Roman" w:cs="Times New Roman"/>
          <w:sz w:val="24"/>
          <w:szCs w:val="24"/>
        </w:rPr>
        <w:t>As such,</w:t>
      </w:r>
      <w:r w:rsidR="0060787E">
        <w:rPr>
          <w:rFonts w:ascii="Times New Roman" w:hAnsi="Times New Roman" w:cs="Times New Roman"/>
          <w:sz w:val="24"/>
          <w:szCs w:val="24"/>
        </w:rPr>
        <w:t xml:space="preserve"> </w:t>
      </w:r>
      <w:r>
        <w:rPr>
          <w:rFonts w:ascii="Times New Roman" w:hAnsi="Times New Roman" w:cs="Times New Roman"/>
          <w:sz w:val="24"/>
          <w:szCs w:val="24"/>
        </w:rPr>
        <w:t xml:space="preserve">liability calculations are </w:t>
      </w:r>
      <w:r w:rsidR="00F30424">
        <w:rPr>
          <w:rFonts w:ascii="Times New Roman" w:hAnsi="Times New Roman" w:cs="Times New Roman"/>
          <w:sz w:val="24"/>
          <w:szCs w:val="24"/>
        </w:rPr>
        <w:t>dependent on the assumptions</w:t>
      </w:r>
      <w:r>
        <w:rPr>
          <w:rFonts w:ascii="Times New Roman" w:hAnsi="Times New Roman" w:cs="Times New Roman"/>
          <w:sz w:val="24"/>
          <w:szCs w:val="24"/>
        </w:rPr>
        <w:t xml:space="preserve"> that</w:t>
      </w:r>
      <w:r w:rsidR="00F30424">
        <w:rPr>
          <w:rFonts w:ascii="Times New Roman" w:hAnsi="Times New Roman" w:cs="Times New Roman"/>
          <w:sz w:val="24"/>
          <w:szCs w:val="24"/>
        </w:rPr>
        <w:t xml:space="preserve"> are </w:t>
      </w:r>
      <w:r w:rsidR="00DD77E6">
        <w:rPr>
          <w:rFonts w:ascii="Times New Roman" w:hAnsi="Times New Roman" w:cs="Times New Roman"/>
          <w:sz w:val="24"/>
          <w:szCs w:val="24"/>
        </w:rPr>
        <w:t>selected</w:t>
      </w:r>
      <w:r w:rsidR="00F30424">
        <w:rPr>
          <w:rFonts w:ascii="Times New Roman" w:hAnsi="Times New Roman" w:cs="Times New Roman"/>
          <w:sz w:val="24"/>
          <w:szCs w:val="24"/>
        </w:rPr>
        <w:t xml:space="preserve"> to forecast future benefit</w:t>
      </w:r>
      <w:r>
        <w:rPr>
          <w:rFonts w:ascii="Times New Roman" w:hAnsi="Times New Roman" w:cs="Times New Roman"/>
          <w:sz w:val="24"/>
          <w:szCs w:val="24"/>
        </w:rPr>
        <w:t>s</w:t>
      </w:r>
      <w:r w:rsidR="00F30424">
        <w:rPr>
          <w:rFonts w:ascii="Times New Roman" w:hAnsi="Times New Roman" w:cs="Times New Roman"/>
          <w:sz w:val="24"/>
          <w:szCs w:val="24"/>
        </w:rPr>
        <w:t xml:space="preserve"> and </w:t>
      </w:r>
      <w:r>
        <w:rPr>
          <w:rFonts w:ascii="Times New Roman" w:hAnsi="Times New Roman" w:cs="Times New Roman"/>
          <w:sz w:val="24"/>
          <w:szCs w:val="24"/>
        </w:rPr>
        <w:t xml:space="preserve">then </w:t>
      </w:r>
      <w:r w:rsidR="0060787E">
        <w:rPr>
          <w:rFonts w:ascii="Times New Roman" w:hAnsi="Times New Roman" w:cs="Times New Roman"/>
          <w:sz w:val="24"/>
          <w:szCs w:val="24"/>
        </w:rPr>
        <w:t xml:space="preserve">to </w:t>
      </w:r>
      <w:r w:rsidR="00F30424">
        <w:rPr>
          <w:rFonts w:ascii="Times New Roman" w:hAnsi="Times New Roman" w:cs="Times New Roman"/>
          <w:sz w:val="24"/>
          <w:szCs w:val="24"/>
        </w:rPr>
        <w:t xml:space="preserve">discount those future </w:t>
      </w:r>
      <w:r>
        <w:rPr>
          <w:rFonts w:ascii="Times New Roman" w:hAnsi="Times New Roman" w:cs="Times New Roman"/>
          <w:sz w:val="24"/>
          <w:szCs w:val="24"/>
        </w:rPr>
        <w:t>payments</w:t>
      </w:r>
      <w:r w:rsidR="00F30424">
        <w:rPr>
          <w:rFonts w:ascii="Times New Roman" w:hAnsi="Times New Roman" w:cs="Times New Roman"/>
          <w:sz w:val="24"/>
          <w:szCs w:val="24"/>
        </w:rPr>
        <w:t xml:space="preserve"> to the</w:t>
      </w:r>
      <w:r w:rsidR="00714710">
        <w:rPr>
          <w:rFonts w:ascii="Times New Roman" w:hAnsi="Times New Roman" w:cs="Times New Roman"/>
          <w:sz w:val="24"/>
          <w:szCs w:val="24"/>
        </w:rPr>
        <w:t>ir</w:t>
      </w:r>
      <w:r w:rsidR="00F30424">
        <w:rPr>
          <w:rFonts w:ascii="Times New Roman" w:hAnsi="Times New Roman" w:cs="Times New Roman"/>
          <w:sz w:val="24"/>
          <w:szCs w:val="24"/>
        </w:rPr>
        <w:t xml:space="preserve"> present</w:t>
      </w:r>
      <w:r w:rsidR="00714710">
        <w:rPr>
          <w:rFonts w:ascii="Times New Roman" w:hAnsi="Times New Roman" w:cs="Times New Roman"/>
          <w:sz w:val="24"/>
          <w:szCs w:val="24"/>
        </w:rPr>
        <w:t xml:space="preserve"> value</w:t>
      </w:r>
      <w:r w:rsidR="00F30424">
        <w:rPr>
          <w:rFonts w:ascii="Times New Roman" w:hAnsi="Times New Roman" w:cs="Times New Roman"/>
          <w:sz w:val="24"/>
          <w:szCs w:val="24"/>
        </w:rPr>
        <w:t xml:space="preserve">. </w:t>
      </w:r>
      <w:r>
        <w:rPr>
          <w:rFonts w:ascii="Times New Roman" w:hAnsi="Times New Roman" w:cs="Times New Roman"/>
          <w:sz w:val="24"/>
          <w:szCs w:val="24"/>
        </w:rPr>
        <w:t>That process is performed by actuarial professionals</w:t>
      </w:r>
      <w:r w:rsidR="00714710">
        <w:rPr>
          <w:rFonts w:ascii="Times New Roman" w:hAnsi="Times New Roman" w:cs="Times New Roman"/>
          <w:sz w:val="24"/>
          <w:szCs w:val="24"/>
        </w:rPr>
        <w:t xml:space="preserve"> under the direction of pension system trustees</w:t>
      </w:r>
      <w:r w:rsidR="00FF38ED">
        <w:rPr>
          <w:rFonts w:ascii="Times New Roman" w:hAnsi="Times New Roman" w:cs="Times New Roman"/>
          <w:sz w:val="24"/>
          <w:szCs w:val="24"/>
        </w:rPr>
        <w:t xml:space="preserve"> and within </w:t>
      </w:r>
      <w:r w:rsidR="00C24C65">
        <w:rPr>
          <w:rFonts w:ascii="Times New Roman" w:hAnsi="Times New Roman" w:cs="Times New Roman"/>
          <w:sz w:val="24"/>
          <w:szCs w:val="24"/>
        </w:rPr>
        <w:t>legislative</w:t>
      </w:r>
      <w:r w:rsidR="00FF38ED">
        <w:rPr>
          <w:rFonts w:ascii="Times New Roman" w:hAnsi="Times New Roman" w:cs="Times New Roman"/>
          <w:sz w:val="24"/>
          <w:szCs w:val="24"/>
        </w:rPr>
        <w:t xml:space="preserve"> parameters</w:t>
      </w:r>
      <w:r>
        <w:rPr>
          <w:rFonts w:ascii="Times New Roman" w:hAnsi="Times New Roman" w:cs="Times New Roman"/>
          <w:sz w:val="24"/>
          <w:szCs w:val="24"/>
        </w:rPr>
        <w:t xml:space="preserve">. </w:t>
      </w:r>
      <w:r w:rsidR="0060787E">
        <w:rPr>
          <w:rFonts w:ascii="Times New Roman" w:hAnsi="Times New Roman" w:cs="Times New Roman"/>
          <w:sz w:val="24"/>
          <w:szCs w:val="24"/>
        </w:rPr>
        <w:t xml:space="preserve">Actuaries also use cost methods and amortization periods to determine </w:t>
      </w:r>
      <w:r w:rsidR="00714710">
        <w:rPr>
          <w:rFonts w:ascii="Times New Roman" w:hAnsi="Times New Roman" w:cs="Times New Roman"/>
          <w:sz w:val="24"/>
          <w:szCs w:val="24"/>
        </w:rPr>
        <w:t xml:space="preserve">how much sponsors need to contribute each year in order to </w:t>
      </w:r>
      <w:r w:rsidR="0060787E">
        <w:rPr>
          <w:rFonts w:ascii="Times New Roman" w:hAnsi="Times New Roman" w:cs="Times New Roman"/>
          <w:sz w:val="24"/>
          <w:szCs w:val="24"/>
        </w:rPr>
        <w:t>adequately fund th</w:t>
      </w:r>
      <w:r w:rsidR="00714710">
        <w:rPr>
          <w:rFonts w:ascii="Times New Roman" w:hAnsi="Times New Roman" w:cs="Times New Roman"/>
          <w:sz w:val="24"/>
          <w:szCs w:val="24"/>
        </w:rPr>
        <w:t>e</w:t>
      </w:r>
      <w:r w:rsidR="00097AC9">
        <w:rPr>
          <w:rFonts w:ascii="Times New Roman" w:hAnsi="Times New Roman" w:cs="Times New Roman"/>
          <w:sz w:val="24"/>
          <w:szCs w:val="24"/>
        </w:rPr>
        <w:t>ir liabilities</w:t>
      </w:r>
      <w:r w:rsidR="0060787E">
        <w:rPr>
          <w:rFonts w:ascii="Times New Roman" w:hAnsi="Times New Roman" w:cs="Times New Roman"/>
          <w:sz w:val="24"/>
          <w:szCs w:val="24"/>
        </w:rPr>
        <w:t xml:space="preserve">. </w:t>
      </w:r>
      <w:r w:rsidR="00FE0590">
        <w:rPr>
          <w:rFonts w:ascii="Times New Roman" w:hAnsi="Times New Roman" w:cs="Times New Roman"/>
          <w:sz w:val="24"/>
          <w:szCs w:val="24"/>
        </w:rPr>
        <w:t>Th</w:t>
      </w:r>
      <w:r>
        <w:rPr>
          <w:rFonts w:ascii="Times New Roman" w:hAnsi="Times New Roman" w:cs="Times New Roman"/>
          <w:sz w:val="24"/>
          <w:szCs w:val="24"/>
        </w:rPr>
        <w:t>e</w:t>
      </w:r>
      <w:r w:rsidR="00394958">
        <w:rPr>
          <w:rFonts w:ascii="Times New Roman" w:hAnsi="Times New Roman" w:cs="Times New Roman"/>
          <w:sz w:val="24"/>
          <w:szCs w:val="24"/>
        </w:rPr>
        <w:t xml:space="preserve"> selection of assumptions and procedures </w:t>
      </w:r>
      <w:r w:rsidR="0060787E">
        <w:rPr>
          <w:rFonts w:ascii="Times New Roman" w:hAnsi="Times New Roman" w:cs="Times New Roman"/>
          <w:sz w:val="24"/>
          <w:szCs w:val="24"/>
        </w:rPr>
        <w:t xml:space="preserve">greatly affects the </w:t>
      </w:r>
      <w:r w:rsidR="00931FAC">
        <w:rPr>
          <w:rFonts w:ascii="Times New Roman" w:hAnsi="Times New Roman" w:cs="Times New Roman"/>
          <w:sz w:val="24"/>
          <w:szCs w:val="24"/>
        </w:rPr>
        <w:t>size of reported liabilities and</w:t>
      </w:r>
      <w:r w:rsidR="00915C65">
        <w:rPr>
          <w:rFonts w:ascii="Times New Roman" w:hAnsi="Times New Roman" w:cs="Times New Roman"/>
          <w:sz w:val="24"/>
          <w:szCs w:val="24"/>
        </w:rPr>
        <w:t xml:space="preserve"> contribution </w:t>
      </w:r>
      <w:r w:rsidR="00714710">
        <w:rPr>
          <w:rFonts w:ascii="Times New Roman" w:hAnsi="Times New Roman" w:cs="Times New Roman"/>
          <w:sz w:val="24"/>
          <w:szCs w:val="24"/>
        </w:rPr>
        <w:t>requirements</w:t>
      </w:r>
      <w:r w:rsidR="00915C65">
        <w:rPr>
          <w:rFonts w:ascii="Times New Roman" w:hAnsi="Times New Roman" w:cs="Times New Roman"/>
          <w:sz w:val="24"/>
          <w:szCs w:val="24"/>
        </w:rPr>
        <w:t xml:space="preserve"> and</w:t>
      </w:r>
      <w:r w:rsidR="00BA55E4">
        <w:rPr>
          <w:rFonts w:ascii="Times New Roman" w:hAnsi="Times New Roman" w:cs="Times New Roman"/>
          <w:sz w:val="24"/>
          <w:szCs w:val="24"/>
        </w:rPr>
        <w:t>,</w:t>
      </w:r>
      <w:r w:rsidR="00931FAC">
        <w:rPr>
          <w:rFonts w:ascii="Times New Roman" w:hAnsi="Times New Roman" w:cs="Times New Roman"/>
          <w:sz w:val="24"/>
          <w:szCs w:val="24"/>
        </w:rPr>
        <w:t xml:space="preserve"> </w:t>
      </w:r>
      <w:r w:rsidR="00915C65">
        <w:rPr>
          <w:rFonts w:ascii="Times New Roman" w:hAnsi="Times New Roman" w:cs="Times New Roman"/>
          <w:sz w:val="24"/>
          <w:szCs w:val="24"/>
        </w:rPr>
        <w:t>by extension</w:t>
      </w:r>
      <w:r w:rsidR="00BA55E4">
        <w:rPr>
          <w:rFonts w:ascii="Times New Roman" w:hAnsi="Times New Roman" w:cs="Times New Roman"/>
          <w:sz w:val="24"/>
          <w:szCs w:val="24"/>
        </w:rPr>
        <w:t>,</w:t>
      </w:r>
      <w:r w:rsidR="00931FAC">
        <w:rPr>
          <w:rFonts w:ascii="Times New Roman" w:hAnsi="Times New Roman" w:cs="Times New Roman"/>
          <w:sz w:val="24"/>
          <w:szCs w:val="24"/>
        </w:rPr>
        <w:t xml:space="preserve"> the </w:t>
      </w:r>
      <w:r w:rsidR="00394958" w:rsidRPr="003B102B">
        <w:rPr>
          <w:rFonts w:ascii="Times New Roman" w:hAnsi="Times New Roman" w:cs="Times New Roman"/>
          <w:sz w:val="24"/>
          <w:szCs w:val="24"/>
        </w:rPr>
        <w:t>substanc</w:t>
      </w:r>
      <w:r w:rsidR="00394958">
        <w:rPr>
          <w:rFonts w:ascii="Times New Roman" w:hAnsi="Times New Roman" w:cs="Times New Roman"/>
          <w:sz w:val="24"/>
          <w:szCs w:val="24"/>
        </w:rPr>
        <w:t xml:space="preserve">e of pension policy </w:t>
      </w:r>
      <w:r w:rsidR="00931FAC">
        <w:rPr>
          <w:rFonts w:ascii="Times New Roman" w:hAnsi="Times New Roman" w:cs="Times New Roman"/>
          <w:sz w:val="24"/>
          <w:szCs w:val="24"/>
        </w:rPr>
        <w:t>debates</w:t>
      </w:r>
      <w:r w:rsidR="00BA55E4">
        <w:rPr>
          <w:rFonts w:ascii="Times New Roman" w:hAnsi="Times New Roman" w:cs="Times New Roman"/>
          <w:sz w:val="24"/>
          <w:szCs w:val="24"/>
        </w:rPr>
        <w:t>.</w:t>
      </w:r>
      <w:r w:rsidR="0060787E">
        <w:rPr>
          <w:rFonts w:ascii="Times New Roman" w:hAnsi="Times New Roman" w:cs="Times New Roman"/>
          <w:sz w:val="24"/>
          <w:szCs w:val="24"/>
        </w:rPr>
        <w:t xml:space="preserve"> In this paper, we </w:t>
      </w:r>
      <w:r w:rsidR="00714710">
        <w:rPr>
          <w:rFonts w:ascii="Times New Roman" w:hAnsi="Times New Roman" w:cs="Times New Roman"/>
          <w:sz w:val="24"/>
          <w:szCs w:val="24"/>
        </w:rPr>
        <w:t xml:space="preserve">use the term </w:t>
      </w:r>
      <w:r w:rsidR="00097AC9">
        <w:rPr>
          <w:rFonts w:ascii="Times New Roman" w:hAnsi="Times New Roman" w:cs="Times New Roman"/>
          <w:sz w:val="24"/>
          <w:szCs w:val="24"/>
        </w:rPr>
        <w:t>"</w:t>
      </w:r>
      <w:r w:rsidR="00714710">
        <w:rPr>
          <w:rFonts w:ascii="Times New Roman" w:hAnsi="Times New Roman" w:cs="Times New Roman"/>
          <w:sz w:val="24"/>
          <w:szCs w:val="24"/>
        </w:rPr>
        <w:t>actuarial inputs</w:t>
      </w:r>
      <w:r w:rsidR="00097AC9">
        <w:rPr>
          <w:rFonts w:ascii="Times New Roman" w:hAnsi="Times New Roman" w:cs="Times New Roman"/>
          <w:sz w:val="24"/>
          <w:szCs w:val="24"/>
        </w:rPr>
        <w:t>"</w:t>
      </w:r>
      <w:r w:rsidR="00714710">
        <w:rPr>
          <w:rFonts w:ascii="Times New Roman" w:hAnsi="Times New Roman" w:cs="Times New Roman"/>
          <w:sz w:val="24"/>
          <w:szCs w:val="24"/>
        </w:rPr>
        <w:t xml:space="preserve"> to </w:t>
      </w:r>
      <w:r w:rsidR="0060787E">
        <w:rPr>
          <w:rFonts w:ascii="Times New Roman" w:hAnsi="Times New Roman" w:cs="Times New Roman"/>
          <w:sz w:val="24"/>
          <w:szCs w:val="24"/>
        </w:rPr>
        <w:t>refer to the assumptions and procedures used by actuaries</w:t>
      </w:r>
      <w:r w:rsidR="00714710">
        <w:rPr>
          <w:rFonts w:ascii="Times New Roman" w:hAnsi="Times New Roman" w:cs="Times New Roman"/>
          <w:sz w:val="24"/>
          <w:szCs w:val="24"/>
        </w:rPr>
        <w:t xml:space="preserve"> to value pension liabilities and </w:t>
      </w:r>
      <w:r w:rsidR="00EA1B2B">
        <w:rPr>
          <w:rFonts w:ascii="Times New Roman" w:hAnsi="Times New Roman" w:cs="Times New Roman"/>
          <w:sz w:val="24"/>
          <w:szCs w:val="24"/>
        </w:rPr>
        <w:t>contribution requirements</w:t>
      </w:r>
      <w:r w:rsidR="0060787E">
        <w:rPr>
          <w:rFonts w:ascii="Times New Roman" w:hAnsi="Times New Roman" w:cs="Times New Roman"/>
          <w:sz w:val="24"/>
          <w:szCs w:val="24"/>
        </w:rPr>
        <w:t>.</w:t>
      </w:r>
    </w:p>
    <w:p w14:paraId="20678856" w14:textId="269E3C89" w:rsidR="00C50D7D" w:rsidRDefault="00FE0590" w:rsidP="00931FAC">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714710">
        <w:rPr>
          <w:rFonts w:ascii="Times New Roman" w:hAnsi="Times New Roman" w:cs="Times New Roman"/>
          <w:sz w:val="24"/>
          <w:szCs w:val="24"/>
        </w:rPr>
        <w:t>When</w:t>
      </w:r>
      <w:r w:rsidR="00915C65">
        <w:rPr>
          <w:rFonts w:ascii="Times New Roman" w:hAnsi="Times New Roman" w:cs="Times New Roman"/>
          <w:sz w:val="24"/>
          <w:szCs w:val="24"/>
        </w:rPr>
        <w:t xml:space="preserve"> plan sponsors select </w:t>
      </w:r>
      <w:r w:rsidR="0060787E">
        <w:rPr>
          <w:rFonts w:ascii="Times New Roman" w:hAnsi="Times New Roman" w:cs="Times New Roman"/>
          <w:sz w:val="24"/>
          <w:szCs w:val="24"/>
        </w:rPr>
        <w:t>actuarial inputs</w:t>
      </w:r>
      <w:r w:rsidR="00915C65">
        <w:rPr>
          <w:rFonts w:ascii="Times New Roman" w:hAnsi="Times New Roman" w:cs="Times New Roman"/>
          <w:sz w:val="24"/>
          <w:szCs w:val="24"/>
        </w:rPr>
        <w:t xml:space="preserve"> that </w:t>
      </w:r>
      <w:r w:rsidR="00097AC9">
        <w:rPr>
          <w:rFonts w:ascii="Times New Roman" w:hAnsi="Times New Roman" w:cs="Times New Roman"/>
          <w:sz w:val="24"/>
          <w:szCs w:val="24"/>
        </w:rPr>
        <w:t>reduce their</w:t>
      </w:r>
      <w:r w:rsidR="00714710">
        <w:rPr>
          <w:rFonts w:ascii="Times New Roman" w:hAnsi="Times New Roman" w:cs="Times New Roman"/>
          <w:sz w:val="24"/>
          <w:szCs w:val="24"/>
        </w:rPr>
        <w:t xml:space="preserve"> pension </w:t>
      </w:r>
      <w:r w:rsidR="00097AC9">
        <w:rPr>
          <w:rFonts w:ascii="Times New Roman" w:hAnsi="Times New Roman" w:cs="Times New Roman"/>
          <w:sz w:val="24"/>
          <w:szCs w:val="24"/>
        </w:rPr>
        <w:t xml:space="preserve">liabilities and contribution requirements, they </w:t>
      </w:r>
      <w:r w:rsidR="0060787E">
        <w:rPr>
          <w:rFonts w:ascii="Times New Roman" w:hAnsi="Times New Roman" w:cs="Times New Roman"/>
          <w:sz w:val="24"/>
          <w:szCs w:val="24"/>
        </w:rPr>
        <w:t xml:space="preserve">ease the </w:t>
      </w:r>
      <w:r w:rsidR="004B6003">
        <w:rPr>
          <w:rFonts w:ascii="Times New Roman" w:hAnsi="Times New Roman" w:cs="Times New Roman"/>
          <w:sz w:val="24"/>
          <w:szCs w:val="24"/>
        </w:rPr>
        <w:t xml:space="preserve">short-term </w:t>
      </w:r>
      <w:r w:rsidR="00EA1B2B">
        <w:rPr>
          <w:rFonts w:ascii="Times New Roman" w:hAnsi="Times New Roman" w:cs="Times New Roman"/>
          <w:sz w:val="24"/>
          <w:szCs w:val="24"/>
        </w:rPr>
        <w:t>fiscal</w:t>
      </w:r>
      <w:r w:rsidR="0060787E">
        <w:rPr>
          <w:rFonts w:ascii="Times New Roman" w:hAnsi="Times New Roman" w:cs="Times New Roman"/>
          <w:sz w:val="24"/>
          <w:szCs w:val="24"/>
        </w:rPr>
        <w:t xml:space="preserve"> burden of public pensions</w:t>
      </w:r>
      <w:r w:rsidR="00097AC9">
        <w:rPr>
          <w:rFonts w:ascii="Times New Roman" w:hAnsi="Times New Roman" w:cs="Times New Roman"/>
          <w:sz w:val="24"/>
          <w:szCs w:val="24"/>
        </w:rPr>
        <w:t xml:space="preserve"> and </w:t>
      </w:r>
      <w:r w:rsidR="00915C65">
        <w:rPr>
          <w:rFonts w:ascii="Times New Roman" w:hAnsi="Times New Roman" w:cs="Times New Roman"/>
          <w:sz w:val="24"/>
          <w:szCs w:val="24"/>
        </w:rPr>
        <w:t xml:space="preserve">make it </w:t>
      </w:r>
      <w:r w:rsidR="0060787E">
        <w:rPr>
          <w:rFonts w:ascii="Times New Roman" w:hAnsi="Times New Roman" w:cs="Times New Roman"/>
          <w:sz w:val="24"/>
          <w:szCs w:val="24"/>
        </w:rPr>
        <w:t xml:space="preserve">easier for advocates of </w:t>
      </w:r>
      <w:r w:rsidR="004E2A32">
        <w:rPr>
          <w:rFonts w:ascii="Times New Roman" w:hAnsi="Times New Roman" w:cs="Times New Roman"/>
          <w:sz w:val="24"/>
          <w:szCs w:val="24"/>
        </w:rPr>
        <w:t xml:space="preserve">more generous </w:t>
      </w:r>
      <w:r w:rsidR="00714710">
        <w:rPr>
          <w:rFonts w:ascii="Times New Roman" w:hAnsi="Times New Roman" w:cs="Times New Roman"/>
          <w:sz w:val="24"/>
          <w:szCs w:val="24"/>
        </w:rPr>
        <w:t xml:space="preserve">pension </w:t>
      </w:r>
      <w:r w:rsidR="00394958">
        <w:rPr>
          <w:rFonts w:ascii="Times New Roman" w:hAnsi="Times New Roman" w:cs="Times New Roman"/>
          <w:sz w:val="24"/>
          <w:szCs w:val="24"/>
        </w:rPr>
        <w:t>benefit</w:t>
      </w:r>
      <w:r w:rsidR="00714710">
        <w:rPr>
          <w:rFonts w:ascii="Times New Roman" w:hAnsi="Times New Roman" w:cs="Times New Roman"/>
          <w:sz w:val="24"/>
          <w:szCs w:val="24"/>
        </w:rPr>
        <w:t>s</w:t>
      </w:r>
      <w:r w:rsidR="0060787E">
        <w:rPr>
          <w:rFonts w:ascii="Times New Roman" w:hAnsi="Times New Roman" w:cs="Times New Roman"/>
          <w:sz w:val="24"/>
          <w:szCs w:val="24"/>
        </w:rPr>
        <w:t xml:space="preserve"> to persuade policy makers to increase</w:t>
      </w:r>
      <w:r w:rsidR="00714710">
        <w:rPr>
          <w:rFonts w:ascii="Times New Roman" w:hAnsi="Times New Roman" w:cs="Times New Roman"/>
          <w:sz w:val="24"/>
          <w:szCs w:val="24"/>
        </w:rPr>
        <w:t xml:space="preserve"> and expand</w:t>
      </w:r>
      <w:r w:rsidR="0060787E">
        <w:rPr>
          <w:rFonts w:ascii="Times New Roman" w:hAnsi="Times New Roman" w:cs="Times New Roman"/>
          <w:sz w:val="24"/>
          <w:szCs w:val="24"/>
        </w:rPr>
        <w:t xml:space="preserve"> benefits</w:t>
      </w:r>
      <w:r w:rsidR="00714710">
        <w:rPr>
          <w:rFonts w:ascii="Times New Roman" w:hAnsi="Times New Roman" w:cs="Times New Roman"/>
          <w:sz w:val="24"/>
          <w:szCs w:val="24"/>
        </w:rPr>
        <w:t xml:space="preserve"> provisions</w:t>
      </w:r>
      <w:r w:rsidR="00915C65">
        <w:rPr>
          <w:rFonts w:ascii="Times New Roman" w:hAnsi="Times New Roman" w:cs="Times New Roman"/>
          <w:sz w:val="24"/>
          <w:szCs w:val="24"/>
        </w:rPr>
        <w:t xml:space="preserve">. </w:t>
      </w:r>
      <w:r w:rsidR="0060787E">
        <w:rPr>
          <w:rFonts w:ascii="Times New Roman" w:hAnsi="Times New Roman" w:cs="Times New Roman"/>
          <w:sz w:val="24"/>
          <w:szCs w:val="24"/>
        </w:rPr>
        <w:t>T</w:t>
      </w:r>
      <w:r w:rsidR="00915C65">
        <w:rPr>
          <w:rFonts w:ascii="Times New Roman" w:hAnsi="Times New Roman" w:cs="Times New Roman"/>
          <w:sz w:val="24"/>
          <w:szCs w:val="24"/>
        </w:rPr>
        <w:t>here is</w:t>
      </w:r>
      <w:r w:rsidR="0060787E">
        <w:rPr>
          <w:rFonts w:ascii="Times New Roman" w:hAnsi="Times New Roman" w:cs="Times New Roman"/>
          <w:sz w:val="24"/>
          <w:szCs w:val="24"/>
        </w:rPr>
        <w:t>, therefore,</w:t>
      </w:r>
      <w:r w:rsidR="00915C65">
        <w:rPr>
          <w:rFonts w:ascii="Times New Roman" w:hAnsi="Times New Roman" w:cs="Times New Roman"/>
          <w:sz w:val="24"/>
          <w:szCs w:val="24"/>
        </w:rPr>
        <w:t xml:space="preserve"> a clear </w:t>
      </w:r>
      <w:r w:rsidR="0060787E">
        <w:rPr>
          <w:rFonts w:ascii="Times New Roman" w:hAnsi="Times New Roman" w:cs="Times New Roman"/>
          <w:sz w:val="24"/>
          <w:szCs w:val="24"/>
        </w:rPr>
        <w:t xml:space="preserve">short-term </w:t>
      </w:r>
      <w:r w:rsidR="00915C65">
        <w:rPr>
          <w:rFonts w:ascii="Times New Roman" w:hAnsi="Times New Roman" w:cs="Times New Roman"/>
          <w:sz w:val="24"/>
          <w:szCs w:val="24"/>
        </w:rPr>
        <w:t>incentive for governments</w:t>
      </w:r>
      <w:r w:rsidR="0060787E">
        <w:rPr>
          <w:rFonts w:ascii="Times New Roman" w:hAnsi="Times New Roman" w:cs="Times New Roman"/>
          <w:sz w:val="24"/>
          <w:szCs w:val="24"/>
        </w:rPr>
        <w:t xml:space="preserve"> and public employee advocates</w:t>
      </w:r>
      <w:r w:rsidR="00915C65">
        <w:rPr>
          <w:rFonts w:ascii="Times New Roman" w:hAnsi="Times New Roman" w:cs="Times New Roman"/>
          <w:sz w:val="24"/>
          <w:szCs w:val="24"/>
        </w:rPr>
        <w:t xml:space="preserve"> to support more optimistic actuarial inputs. </w:t>
      </w:r>
      <w:r w:rsidR="00097AC9">
        <w:rPr>
          <w:rFonts w:ascii="Times New Roman" w:hAnsi="Times New Roman" w:cs="Times New Roman"/>
          <w:sz w:val="24"/>
          <w:szCs w:val="24"/>
        </w:rPr>
        <w:t xml:space="preserve">These optimistic calculations, however, do not </w:t>
      </w:r>
      <w:r w:rsidR="00656612">
        <w:rPr>
          <w:rFonts w:ascii="Times New Roman" w:hAnsi="Times New Roman" w:cs="Times New Roman"/>
          <w:sz w:val="24"/>
          <w:szCs w:val="24"/>
        </w:rPr>
        <w:t xml:space="preserve">actually improve </w:t>
      </w:r>
      <w:r w:rsidR="00714710">
        <w:rPr>
          <w:rFonts w:ascii="Times New Roman" w:hAnsi="Times New Roman" w:cs="Times New Roman"/>
          <w:sz w:val="24"/>
          <w:szCs w:val="24"/>
        </w:rPr>
        <w:t>pension funds’</w:t>
      </w:r>
      <w:r w:rsidR="00656612">
        <w:rPr>
          <w:rFonts w:ascii="Times New Roman" w:hAnsi="Times New Roman" w:cs="Times New Roman"/>
          <w:sz w:val="24"/>
          <w:szCs w:val="24"/>
        </w:rPr>
        <w:t xml:space="preserve"> ability to pay future benefits</w:t>
      </w:r>
      <w:r w:rsidR="00097AC9">
        <w:rPr>
          <w:rFonts w:ascii="Times New Roman" w:hAnsi="Times New Roman" w:cs="Times New Roman"/>
          <w:sz w:val="24"/>
          <w:szCs w:val="24"/>
        </w:rPr>
        <w:t xml:space="preserve">; so </w:t>
      </w:r>
      <w:r w:rsidR="00EA1B2B">
        <w:rPr>
          <w:rFonts w:ascii="Times New Roman" w:hAnsi="Times New Roman" w:cs="Times New Roman"/>
          <w:sz w:val="24"/>
          <w:szCs w:val="24"/>
        </w:rPr>
        <w:t>that</w:t>
      </w:r>
      <w:r w:rsidR="00097AC9">
        <w:rPr>
          <w:rFonts w:ascii="Times New Roman" w:hAnsi="Times New Roman" w:cs="Times New Roman"/>
          <w:sz w:val="24"/>
          <w:szCs w:val="24"/>
        </w:rPr>
        <w:t xml:space="preserve"> strat</w:t>
      </w:r>
      <w:r w:rsidR="00656612">
        <w:rPr>
          <w:rFonts w:ascii="Times New Roman" w:hAnsi="Times New Roman" w:cs="Times New Roman"/>
          <w:sz w:val="24"/>
          <w:szCs w:val="24"/>
        </w:rPr>
        <w:t xml:space="preserve">egy only </w:t>
      </w:r>
      <w:r w:rsidR="00714710">
        <w:rPr>
          <w:rFonts w:ascii="Times New Roman" w:hAnsi="Times New Roman" w:cs="Times New Roman"/>
          <w:sz w:val="24"/>
          <w:szCs w:val="24"/>
        </w:rPr>
        <w:t>w</w:t>
      </w:r>
      <w:r w:rsidR="00656612">
        <w:rPr>
          <w:rFonts w:ascii="Times New Roman" w:hAnsi="Times New Roman" w:cs="Times New Roman"/>
          <w:sz w:val="24"/>
          <w:szCs w:val="24"/>
        </w:rPr>
        <w:t>ork</w:t>
      </w:r>
      <w:r w:rsidR="00714710">
        <w:rPr>
          <w:rFonts w:ascii="Times New Roman" w:hAnsi="Times New Roman" w:cs="Times New Roman"/>
          <w:sz w:val="24"/>
          <w:szCs w:val="24"/>
        </w:rPr>
        <w:t>s</w:t>
      </w:r>
      <w:r w:rsidR="00656612">
        <w:rPr>
          <w:rFonts w:ascii="Times New Roman" w:hAnsi="Times New Roman" w:cs="Times New Roman"/>
          <w:sz w:val="24"/>
          <w:szCs w:val="24"/>
        </w:rPr>
        <w:t xml:space="preserve"> </w:t>
      </w:r>
      <w:r w:rsidR="00097AC9">
        <w:rPr>
          <w:rFonts w:ascii="Times New Roman" w:hAnsi="Times New Roman" w:cs="Times New Roman"/>
          <w:sz w:val="24"/>
          <w:szCs w:val="24"/>
        </w:rPr>
        <w:t>in the short-term and creates potentially unsustainable costs as employees' near retirement.</w:t>
      </w:r>
    </w:p>
    <w:p w14:paraId="5A0EF14B" w14:textId="1D52EF77" w:rsidR="00BE613D" w:rsidRDefault="00C50D7D" w:rsidP="00931FAC">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ab/>
      </w:r>
      <w:r w:rsidR="00BD3883">
        <w:rPr>
          <w:rFonts w:ascii="Times New Roman" w:hAnsi="Times New Roman" w:cs="Times New Roman"/>
          <w:sz w:val="24"/>
          <w:szCs w:val="24"/>
        </w:rPr>
        <w:t>In contrast, s</w:t>
      </w:r>
      <w:r w:rsidR="005772C2">
        <w:rPr>
          <w:rFonts w:ascii="Times New Roman" w:hAnsi="Times New Roman" w:cs="Times New Roman"/>
          <w:sz w:val="24"/>
          <w:szCs w:val="24"/>
        </w:rPr>
        <w:t>electing more conservative actuarial inputs increase</w:t>
      </w:r>
      <w:r w:rsidR="00097AC9">
        <w:rPr>
          <w:rFonts w:ascii="Times New Roman" w:hAnsi="Times New Roman" w:cs="Times New Roman"/>
          <w:sz w:val="24"/>
          <w:szCs w:val="24"/>
        </w:rPr>
        <w:t>s</w:t>
      </w:r>
      <w:r w:rsidR="005772C2">
        <w:rPr>
          <w:rFonts w:ascii="Times New Roman" w:hAnsi="Times New Roman" w:cs="Times New Roman"/>
          <w:sz w:val="24"/>
          <w:szCs w:val="24"/>
        </w:rPr>
        <w:t xml:space="preserve"> </w:t>
      </w:r>
      <w:r w:rsidR="00BE613D">
        <w:rPr>
          <w:rFonts w:ascii="Times New Roman" w:hAnsi="Times New Roman" w:cs="Times New Roman"/>
          <w:sz w:val="24"/>
          <w:szCs w:val="24"/>
        </w:rPr>
        <w:t xml:space="preserve">the </w:t>
      </w:r>
      <w:r w:rsidR="00BD3883">
        <w:rPr>
          <w:rFonts w:ascii="Times New Roman" w:hAnsi="Times New Roman" w:cs="Times New Roman"/>
          <w:sz w:val="24"/>
          <w:szCs w:val="24"/>
        </w:rPr>
        <w:t xml:space="preserve">assumed </w:t>
      </w:r>
      <w:r w:rsidR="00097AC9">
        <w:rPr>
          <w:rFonts w:ascii="Times New Roman" w:hAnsi="Times New Roman" w:cs="Times New Roman"/>
          <w:sz w:val="24"/>
          <w:szCs w:val="24"/>
        </w:rPr>
        <w:t xml:space="preserve">liabilities and </w:t>
      </w:r>
      <w:r w:rsidR="00BD3883">
        <w:rPr>
          <w:rFonts w:ascii="Times New Roman" w:hAnsi="Times New Roman" w:cs="Times New Roman"/>
          <w:sz w:val="24"/>
          <w:szCs w:val="24"/>
        </w:rPr>
        <w:t>contribution requirements</w:t>
      </w:r>
      <w:r w:rsidR="00F64DAB">
        <w:rPr>
          <w:rFonts w:ascii="Times New Roman" w:hAnsi="Times New Roman" w:cs="Times New Roman"/>
          <w:sz w:val="24"/>
          <w:szCs w:val="24"/>
        </w:rPr>
        <w:t xml:space="preserve">. This </w:t>
      </w:r>
      <w:r w:rsidR="00394958">
        <w:rPr>
          <w:rFonts w:ascii="Times New Roman" w:hAnsi="Times New Roman" w:cs="Times New Roman"/>
          <w:sz w:val="24"/>
          <w:szCs w:val="24"/>
        </w:rPr>
        <w:t xml:space="preserve">incentivizes </w:t>
      </w:r>
      <w:r w:rsidR="005772C2">
        <w:rPr>
          <w:rFonts w:ascii="Times New Roman" w:hAnsi="Times New Roman" w:cs="Times New Roman"/>
          <w:sz w:val="24"/>
          <w:szCs w:val="24"/>
        </w:rPr>
        <w:t xml:space="preserve">policy actions that </w:t>
      </w:r>
      <w:r w:rsidR="00394958">
        <w:rPr>
          <w:rFonts w:ascii="Times New Roman" w:hAnsi="Times New Roman" w:cs="Times New Roman"/>
          <w:sz w:val="24"/>
          <w:szCs w:val="24"/>
        </w:rPr>
        <w:t>reduce benefits</w:t>
      </w:r>
      <w:r w:rsidR="00F64DAB">
        <w:rPr>
          <w:rFonts w:ascii="Times New Roman" w:hAnsi="Times New Roman" w:cs="Times New Roman"/>
          <w:sz w:val="24"/>
          <w:szCs w:val="24"/>
        </w:rPr>
        <w:t>, limit the number of annuitants,</w:t>
      </w:r>
      <w:r w:rsidR="00394958">
        <w:rPr>
          <w:rFonts w:ascii="Times New Roman" w:hAnsi="Times New Roman" w:cs="Times New Roman"/>
          <w:sz w:val="24"/>
          <w:szCs w:val="24"/>
        </w:rPr>
        <w:t xml:space="preserve"> and</w:t>
      </w:r>
      <w:r w:rsidR="004E2A32">
        <w:rPr>
          <w:rFonts w:ascii="Times New Roman" w:hAnsi="Times New Roman" w:cs="Times New Roman"/>
          <w:sz w:val="24"/>
          <w:szCs w:val="24"/>
        </w:rPr>
        <w:t xml:space="preserve"> potentially even</w:t>
      </w:r>
      <w:r w:rsidR="00394958">
        <w:rPr>
          <w:rFonts w:ascii="Times New Roman" w:hAnsi="Times New Roman" w:cs="Times New Roman"/>
          <w:sz w:val="24"/>
          <w:szCs w:val="24"/>
        </w:rPr>
        <w:t xml:space="preserve"> </w:t>
      </w:r>
      <w:r w:rsidR="001A4AF9">
        <w:rPr>
          <w:rFonts w:ascii="Times New Roman" w:hAnsi="Times New Roman" w:cs="Times New Roman"/>
          <w:sz w:val="24"/>
          <w:szCs w:val="24"/>
        </w:rPr>
        <w:t>clos</w:t>
      </w:r>
      <w:r w:rsidR="005772C2">
        <w:rPr>
          <w:rFonts w:ascii="Times New Roman" w:hAnsi="Times New Roman" w:cs="Times New Roman"/>
          <w:sz w:val="24"/>
          <w:szCs w:val="24"/>
        </w:rPr>
        <w:t xml:space="preserve">e </w:t>
      </w:r>
      <w:r w:rsidR="001A4AF9">
        <w:rPr>
          <w:rFonts w:ascii="Times New Roman" w:hAnsi="Times New Roman" w:cs="Times New Roman"/>
          <w:sz w:val="24"/>
          <w:szCs w:val="24"/>
        </w:rPr>
        <w:t>defined-</w:t>
      </w:r>
      <w:r w:rsidR="00394958">
        <w:rPr>
          <w:rFonts w:ascii="Times New Roman" w:hAnsi="Times New Roman" w:cs="Times New Roman"/>
          <w:sz w:val="24"/>
          <w:szCs w:val="24"/>
        </w:rPr>
        <w:t>benefit system</w:t>
      </w:r>
      <w:r w:rsidR="00656612">
        <w:rPr>
          <w:rFonts w:ascii="Times New Roman" w:hAnsi="Times New Roman" w:cs="Times New Roman"/>
          <w:sz w:val="24"/>
          <w:szCs w:val="24"/>
        </w:rPr>
        <w:t>s</w:t>
      </w:r>
      <w:r w:rsidR="001A4AF9">
        <w:rPr>
          <w:rFonts w:ascii="Times New Roman" w:hAnsi="Times New Roman" w:cs="Times New Roman"/>
          <w:sz w:val="24"/>
          <w:szCs w:val="24"/>
        </w:rPr>
        <w:t xml:space="preserve"> in favor of defined</w:t>
      </w:r>
      <w:r w:rsidR="00097AC9">
        <w:rPr>
          <w:rFonts w:ascii="Times New Roman" w:hAnsi="Times New Roman" w:cs="Times New Roman"/>
          <w:sz w:val="24"/>
          <w:szCs w:val="24"/>
        </w:rPr>
        <w:t>-</w:t>
      </w:r>
      <w:r w:rsidR="001A4AF9">
        <w:rPr>
          <w:rFonts w:ascii="Times New Roman" w:hAnsi="Times New Roman" w:cs="Times New Roman"/>
          <w:sz w:val="24"/>
          <w:szCs w:val="24"/>
        </w:rPr>
        <w:t>contribution</w:t>
      </w:r>
      <w:r w:rsidR="00097AC9">
        <w:rPr>
          <w:rFonts w:ascii="Times New Roman" w:hAnsi="Times New Roman" w:cs="Times New Roman"/>
          <w:sz w:val="24"/>
          <w:szCs w:val="24"/>
        </w:rPr>
        <w:t xml:space="preserve"> plan</w:t>
      </w:r>
      <w:r w:rsidR="00656612">
        <w:rPr>
          <w:rFonts w:ascii="Times New Roman" w:hAnsi="Times New Roman" w:cs="Times New Roman"/>
          <w:sz w:val="24"/>
          <w:szCs w:val="24"/>
        </w:rPr>
        <w:t>s</w:t>
      </w:r>
      <w:r w:rsidR="00394958">
        <w:rPr>
          <w:rFonts w:ascii="Times New Roman" w:hAnsi="Times New Roman" w:cs="Times New Roman"/>
          <w:sz w:val="24"/>
          <w:szCs w:val="24"/>
        </w:rPr>
        <w:t xml:space="preserve">. </w:t>
      </w:r>
    </w:p>
    <w:p w14:paraId="0A4BB386" w14:textId="69DDFDA1" w:rsidR="00394958" w:rsidRPr="003B102B" w:rsidRDefault="00BE613D" w:rsidP="00663DD8">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4516AB">
        <w:rPr>
          <w:rFonts w:ascii="Times New Roman" w:hAnsi="Times New Roman" w:cs="Times New Roman"/>
          <w:sz w:val="24"/>
          <w:szCs w:val="24"/>
        </w:rPr>
        <w:t xml:space="preserve">While </w:t>
      </w:r>
      <w:r w:rsidR="00EA1B2B">
        <w:rPr>
          <w:rFonts w:ascii="Times New Roman" w:hAnsi="Times New Roman" w:cs="Times New Roman"/>
          <w:sz w:val="24"/>
          <w:szCs w:val="24"/>
        </w:rPr>
        <w:t xml:space="preserve">the </w:t>
      </w:r>
      <w:r w:rsidR="005772C2">
        <w:rPr>
          <w:rFonts w:ascii="Times New Roman" w:hAnsi="Times New Roman" w:cs="Times New Roman"/>
          <w:sz w:val="24"/>
          <w:szCs w:val="24"/>
        </w:rPr>
        <w:t xml:space="preserve">deterministic </w:t>
      </w:r>
      <w:r w:rsidR="00097AC9">
        <w:rPr>
          <w:rFonts w:ascii="Times New Roman" w:hAnsi="Times New Roman" w:cs="Times New Roman"/>
          <w:sz w:val="24"/>
          <w:szCs w:val="24"/>
        </w:rPr>
        <w:t xml:space="preserve">relationship between actuarial inputs and </w:t>
      </w:r>
      <w:r w:rsidR="005772C2">
        <w:rPr>
          <w:rFonts w:ascii="Times New Roman" w:hAnsi="Times New Roman" w:cs="Times New Roman"/>
          <w:sz w:val="24"/>
          <w:szCs w:val="24"/>
        </w:rPr>
        <w:t xml:space="preserve">pension liabilities and contribution </w:t>
      </w:r>
      <w:r w:rsidR="00097AC9">
        <w:rPr>
          <w:rFonts w:ascii="Times New Roman" w:hAnsi="Times New Roman" w:cs="Times New Roman"/>
          <w:sz w:val="24"/>
          <w:szCs w:val="24"/>
        </w:rPr>
        <w:t>requirements is well established</w:t>
      </w:r>
      <w:r w:rsidR="005772C2">
        <w:rPr>
          <w:rFonts w:ascii="Times New Roman" w:hAnsi="Times New Roman" w:cs="Times New Roman"/>
          <w:sz w:val="24"/>
          <w:szCs w:val="24"/>
        </w:rPr>
        <w:t xml:space="preserve"> </w:t>
      </w:r>
      <w:r w:rsidR="00F73C3A">
        <w:rPr>
          <w:rFonts w:ascii="Times New Roman" w:hAnsi="Times New Roman" w:cs="Times New Roman"/>
          <w:sz w:val="24"/>
          <w:szCs w:val="24"/>
        </w:rPr>
        <w:t xml:space="preserve">and the direction of those relationships is well known, </w:t>
      </w:r>
      <w:r w:rsidR="005772C2">
        <w:rPr>
          <w:rFonts w:ascii="Times New Roman" w:hAnsi="Times New Roman" w:cs="Times New Roman"/>
          <w:sz w:val="24"/>
          <w:szCs w:val="24"/>
        </w:rPr>
        <w:t xml:space="preserve">there </w:t>
      </w:r>
      <w:r w:rsidR="00656612">
        <w:rPr>
          <w:rFonts w:ascii="Times New Roman" w:hAnsi="Times New Roman" w:cs="Times New Roman"/>
          <w:sz w:val="24"/>
          <w:szCs w:val="24"/>
        </w:rPr>
        <w:t xml:space="preserve">are several </w:t>
      </w:r>
      <w:r w:rsidR="00097AC9">
        <w:rPr>
          <w:rFonts w:ascii="Times New Roman" w:hAnsi="Times New Roman" w:cs="Times New Roman"/>
          <w:sz w:val="24"/>
          <w:szCs w:val="24"/>
        </w:rPr>
        <w:t>gaps in our understanding of the relationship</w:t>
      </w:r>
      <w:r w:rsidR="00656612">
        <w:rPr>
          <w:rFonts w:ascii="Times New Roman" w:hAnsi="Times New Roman" w:cs="Times New Roman"/>
          <w:sz w:val="24"/>
          <w:szCs w:val="24"/>
        </w:rPr>
        <w:t xml:space="preserve">. </w:t>
      </w:r>
      <w:r w:rsidR="00097AC9" w:rsidRPr="0000355F">
        <w:rPr>
          <w:rFonts w:ascii="Times New Roman" w:hAnsi="Times New Roman" w:cs="Times New Roman"/>
          <w:i/>
          <w:sz w:val="24"/>
          <w:szCs w:val="24"/>
        </w:rPr>
        <w:t>First</w:t>
      </w:r>
      <w:r w:rsidR="00656612">
        <w:rPr>
          <w:rFonts w:ascii="Times New Roman" w:hAnsi="Times New Roman" w:cs="Times New Roman"/>
          <w:sz w:val="24"/>
          <w:szCs w:val="24"/>
        </w:rPr>
        <w:t xml:space="preserve">, </w:t>
      </w:r>
      <w:r w:rsidR="00476908">
        <w:rPr>
          <w:rFonts w:ascii="Times New Roman" w:hAnsi="Times New Roman" w:cs="Times New Roman"/>
          <w:sz w:val="24"/>
          <w:szCs w:val="24"/>
        </w:rPr>
        <w:t xml:space="preserve">the policy and administrative community </w:t>
      </w:r>
      <w:r w:rsidR="00656612">
        <w:rPr>
          <w:rFonts w:ascii="Times New Roman" w:hAnsi="Times New Roman" w:cs="Times New Roman"/>
          <w:sz w:val="24"/>
          <w:szCs w:val="24"/>
        </w:rPr>
        <w:t>know</w:t>
      </w:r>
      <w:r w:rsidR="00476908">
        <w:rPr>
          <w:rFonts w:ascii="Times New Roman" w:hAnsi="Times New Roman" w:cs="Times New Roman"/>
          <w:sz w:val="24"/>
          <w:szCs w:val="24"/>
        </w:rPr>
        <w:t>s</w:t>
      </w:r>
      <w:r w:rsidR="00656612">
        <w:rPr>
          <w:rFonts w:ascii="Times New Roman" w:hAnsi="Times New Roman" w:cs="Times New Roman"/>
          <w:sz w:val="24"/>
          <w:szCs w:val="24"/>
        </w:rPr>
        <w:t xml:space="preserve"> little about the </w:t>
      </w:r>
      <w:r w:rsidR="00F567BD">
        <w:rPr>
          <w:rFonts w:ascii="Times New Roman" w:hAnsi="Times New Roman" w:cs="Times New Roman"/>
          <w:sz w:val="24"/>
          <w:szCs w:val="24"/>
        </w:rPr>
        <w:t xml:space="preserve">magnitude of the </w:t>
      </w:r>
      <w:r w:rsidR="00656612">
        <w:rPr>
          <w:rFonts w:ascii="Times New Roman" w:hAnsi="Times New Roman" w:cs="Times New Roman"/>
          <w:sz w:val="24"/>
          <w:szCs w:val="24"/>
        </w:rPr>
        <w:t>effect</w:t>
      </w:r>
      <w:r w:rsidR="00F567BD">
        <w:rPr>
          <w:rFonts w:ascii="Times New Roman" w:hAnsi="Times New Roman" w:cs="Times New Roman"/>
          <w:sz w:val="24"/>
          <w:szCs w:val="24"/>
        </w:rPr>
        <w:t xml:space="preserve"> that </w:t>
      </w:r>
      <w:r w:rsidR="008D74D5">
        <w:rPr>
          <w:rFonts w:ascii="Times New Roman" w:hAnsi="Times New Roman" w:cs="Times New Roman"/>
          <w:sz w:val="24"/>
          <w:szCs w:val="24"/>
        </w:rPr>
        <w:t>a marginal change to actuarial inputs creates</w:t>
      </w:r>
      <w:r w:rsidR="00F567BD">
        <w:rPr>
          <w:rFonts w:ascii="Times New Roman" w:hAnsi="Times New Roman" w:cs="Times New Roman"/>
          <w:sz w:val="24"/>
          <w:szCs w:val="24"/>
        </w:rPr>
        <w:t xml:space="preserve"> </w:t>
      </w:r>
      <w:r w:rsidR="005772C2">
        <w:rPr>
          <w:rFonts w:ascii="Times New Roman" w:hAnsi="Times New Roman" w:cs="Times New Roman"/>
          <w:sz w:val="24"/>
          <w:szCs w:val="24"/>
        </w:rPr>
        <w:t xml:space="preserve">on </w:t>
      </w:r>
      <w:r w:rsidR="00A64869">
        <w:rPr>
          <w:rFonts w:ascii="Times New Roman" w:hAnsi="Times New Roman" w:cs="Times New Roman"/>
          <w:sz w:val="24"/>
          <w:szCs w:val="24"/>
        </w:rPr>
        <w:t>unfunded liabilities</w:t>
      </w:r>
      <w:r w:rsidR="005772C2">
        <w:rPr>
          <w:rFonts w:ascii="Times New Roman" w:hAnsi="Times New Roman" w:cs="Times New Roman"/>
          <w:sz w:val="24"/>
          <w:szCs w:val="24"/>
        </w:rPr>
        <w:t xml:space="preserve"> and contribution r</w:t>
      </w:r>
      <w:r w:rsidR="00A64869">
        <w:rPr>
          <w:rFonts w:ascii="Times New Roman" w:hAnsi="Times New Roman" w:cs="Times New Roman"/>
          <w:sz w:val="24"/>
          <w:szCs w:val="24"/>
        </w:rPr>
        <w:t>equirements</w:t>
      </w:r>
      <w:r w:rsidR="005772C2">
        <w:rPr>
          <w:rFonts w:ascii="Times New Roman" w:hAnsi="Times New Roman" w:cs="Times New Roman"/>
          <w:sz w:val="24"/>
          <w:szCs w:val="24"/>
        </w:rPr>
        <w:t xml:space="preserve">. </w:t>
      </w:r>
      <w:r w:rsidR="0000355F">
        <w:rPr>
          <w:rFonts w:ascii="Times New Roman" w:hAnsi="Times New Roman" w:cs="Times New Roman"/>
          <w:sz w:val="24"/>
          <w:szCs w:val="24"/>
        </w:rPr>
        <w:t>Much of the previous analysis</w:t>
      </w:r>
      <w:r w:rsidR="008F3B3E">
        <w:rPr>
          <w:rFonts w:ascii="Times New Roman" w:hAnsi="Times New Roman" w:cs="Times New Roman"/>
          <w:sz w:val="24"/>
          <w:szCs w:val="24"/>
        </w:rPr>
        <w:t xml:space="preserve"> greatly simplifies </w:t>
      </w:r>
      <w:r w:rsidR="004131AD">
        <w:rPr>
          <w:rFonts w:ascii="Times New Roman" w:hAnsi="Times New Roman" w:cs="Times New Roman"/>
          <w:sz w:val="24"/>
          <w:szCs w:val="24"/>
        </w:rPr>
        <w:t xml:space="preserve">the calculations by not </w:t>
      </w:r>
      <w:r w:rsidR="0000355F">
        <w:rPr>
          <w:rFonts w:ascii="Times New Roman" w:hAnsi="Times New Roman" w:cs="Times New Roman"/>
          <w:sz w:val="24"/>
          <w:szCs w:val="24"/>
        </w:rPr>
        <w:t xml:space="preserve">accounting for </w:t>
      </w:r>
      <w:r w:rsidR="004131AD">
        <w:rPr>
          <w:rFonts w:ascii="Times New Roman" w:hAnsi="Times New Roman" w:cs="Times New Roman"/>
          <w:sz w:val="24"/>
          <w:szCs w:val="24"/>
        </w:rPr>
        <w:t>important actuarial inputs such as mortality tables and actuarial cost methods</w:t>
      </w:r>
      <w:r w:rsidR="0000355F">
        <w:rPr>
          <w:rFonts w:ascii="Times New Roman" w:hAnsi="Times New Roman" w:cs="Times New Roman"/>
          <w:sz w:val="24"/>
          <w:szCs w:val="24"/>
        </w:rPr>
        <w:t xml:space="preserve"> (Peterson 2004)</w:t>
      </w:r>
      <w:r w:rsidR="004131AD">
        <w:rPr>
          <w:rFonts w:ascii="Times New Roman" w:hAnsi="Times New Roman" w:cs="Times New Roman"/>
          <w:sz w:val="24"/>
          <w:szCs w:val="24"/>
        </w:rPr>
        <w:t xml:space="preserve">. </w:t>
      </w:r>
      <w:r w:rsidR="00006749">
        <w:rPr>
          <w:rFonts w:ascii="Times New Roman" w:hAnsi="Times New Roman" w:cs="Times New Roman"/>
          <w:sz w:val="24"/>
          <w:szCs w:val="24"/>
        </w:rPr>
        <w:t>Other</w:t>
      </w:r>
      <w:r w:rsidR="00493B82">
        <w:rPr>
          <w:rFonts w:ascii="Times New Roman" w:hAnsi="Times New Roman" w:cs="Times New Roman"/>
          <w:sz w:val="24"/>
          <w:szCs w:val="24"/>
        </w:rPr>
        <w:t>s</w:t>
      </w:r>
      <w:r w:rsidR="00006749">
        <w:rPr>
          <w:rFonts w:ascii="Times New Roman" w:hAnsi="Times New Roman" w:cs="Times New Roman"/>
          <w:sz w:val="24"/>
          <w:szCs w:val="24"/>
        </w:rPr>
        <w:t xml:space="preserve"> have focused more on the effect of </w:t>
      </w:r>
      <w:r w:rsidR="0000355F">
        <w:rPr>
          <w:rFonts w:ascii="Times New Roman" w:hAnsi="Times New Roman" w:cs="Times New Roman"/>
          <w:sz w:val="24"/>
          <w:szCs w:val="24"/>
        </w:rPr>
        <w:t xml:space="preserve">changes in asset values </w:t>
      </w:r>
      <w:r w:rsidR="00006749">
        <w:rPr>
          <w:rFonts w:ascii="Times New Roman" w:hAnsi="Times New Roman" w:cs="Times New Roman"/>
          <w:sz w:val="24"/>
          <w:szCs w:val="24"/>
        </w:rPr>
        <w:t xml:space="preserve">on </w:t>
      </w:r>
      <w:r w:rsidR="0000355F">
        <w:rPr>
          <w:rFonts w:ascii="Times New Roman" w:hAnsi="Times New Roman" w:cs="Times New Roman"/>
          <w:sz w:val="24"/>
          <w:szCs w:val="24"/>
        </w:rPr>
        <w:t xml:space="preserve">the financial condition of </w:t>
      </w:r>
      <w:r w:rsidR="00006749">
        <w:rPr>
          <w:rFonts w:ascii="Times New Roman" w:hAnsi="Times New Roman" w:cs="Times New Roman"/>
          <w:sz w:val="24"/>
          <w:szCs w:val="24"/>
        </w:rPr>
        <w:t>pension plans (</w:t>
      </w:r>
      <w:proofErr w:type="spellStart"/>
      <w:r w:rsidR="00006749">
        <w:rPr>
          <w:rFonts w:ascii="Times New Roman" w:hAnsi="Times New Roman" w:cs="Times New Roman"/>
          <w:sz w:val="24"/>
          <w:szCs w:val="24"/>
        </w:rPr>
        <w:t>Dufresne</w:t>
      </w:r>
      <w:proofErr w:type="spellEnd"/>
      <w:r w:rsidR="00006749">
        <w:rPr>
          <w:rFonts w:ascii="Times New Roman" w:hAnsi="Times New Roman" w:cs="Times New Roman"/>
          <w:sz w:val="24"/>
          <w:szCs w:val="24"/>
        </w:rPr>
        <w:t xml:space="preserve"> 1988). </w:t>
      </w:r>
      <w:r w:rsidR="004E2A32">
        <w:rPr>
          <w:rFonts w:ascii="Times New Roman" w:hAnsi="Times New Roman" w:cs="Times New Roman"/>
          <w:sz w:val="24"/>
          <w:szCs w:val="24"/>
        </w:rPr>
        <w:t>Th</w:t>
      </w:r>
      <w:r w:rsidR="0000355F">
        <w:rPr>
          <w:rFonts w:ascii="Times New Roman" w:hAnsi="Times New Roman" w:cs="Times New Roman"/>
          <w:sz w:val="24"/>
          <w:szCs w:val="24"/>
        </w:rPr>
        <w:t>e</w:t>
      </w:r>
      <w:r w:rsidR="008F3B3E">
        <w:rPr>
          <w:rFonts w:ascii="Times New Roman" w:hAnsi="Times New Roman" w:cs="Times New Roman"/>
          <w:sz w:val="24"/>
          <w:szCs w:val="24"/>
        </w:rPr>
        <w:t xml:space="preserve"> lack of information </w:t>
      </w:r>
      <w:r w:rsidR="0000355F">
        <w:rPr>
          <w:rFonts w:ascii="Times New Roman" w:hAnsi="Times New Roman" w:cs="Times New Roman"/>
          <w:sz w:val="24"/>
          <w:szCs w:val="24"/>
        </w:rPr>
        <w:t xml:space="preserve">on the marginal effects of actuarial inputs </w:t>
      </w:r>
      <w:r w:rsidR="004E2A32">
        <w:rPr>
          <w:rFonts w:ascii="Times New Roman" w:hAnsi="Times New Roman" w:cs="Times New Roman"/>
          <w:sz w:val="24"/>
          <w:szCs w:val="24"/>
        </w:rPr>
        <w:t xml:space="preserve">means </w:t>
      </w:r>
      <w:r w:rsidR="0000355F">
        <w:rPr>
          <w:rFonts w:ascii="Times New Roman" w:hAnsi="Times New Roman" w:cs="Times New Roman"/>
          <w:sz w:val="24"/>
          <w:szCs w:val="24"/>
        </w:rPr>
        <w:t xml:space="preserve">non-financial professionals </w:t>
      </w:r>
      <w:r w:rsidR="004E2A32">
        <w:rPr>
          <w:rFonts w:ascii="Times New Roman" w:hAnsi="Times New Roman" w:cs="Times New Roman"/>
          <w:sz w:val="24"/>
          <w:szCs w:val="24"/>
        </w:rPr>
        <w:t xml:space="preserve">have </w:t>
      </w:r>
      <w:r w:rsidR="008F3B3E">
        <w:rPr>
          <w:rFonts w:ascii="Times New Roman" w:hAnsi="Times New Roman" w:cs="Times New Roman"/>
          <w:sz w:val="24"/>
          <w:szCs w:val="24"/>
        </w:rPr>
        <w:t xml:space="preserve">limited </w:t>
      </w:r>
      <w:r w:rsidR="004E2A32">
        <w:rPr>
          <w:rFonts w:ascii="Times New Roman" w:hAnsi="Times New Roman" w:cs="Times New Roman"/>
          <w:sz w:val="24"/>
          <w:szCs w:val="24"/>
        </w:rPr>
        <w:t xml:space="preserve">understanding of </w:t>
      </w:r>
      <w:r w:rsidR="0000355F">
        <w:rPr>
          <w:rFonts w:ascii="Times New Roman" w:hAnsi="Times New Roman" w:cs="Times New Roman"/>
          <w:sz w:val="24"/>
          <w:szCs w:val="24"/>
        </w:rPr>
        <w:t>the</w:t>
      </w:r>
      <w:r w:rsidR="004E2A32">
        <w:rPr>
          <w:rFonts w:ascii="Times New Roman" w:hAnsi="Times New Roman" w:cs="Times New Roman"/>
          <w:sz w:val="24"/>
          <w:szCs w:val="24"/>
        </w:rPr>
        <w:t xml:space="preserve"> pressure governments may be under to maintain assumptions </w:t>
      </w:r>
      <w:r w:rsidR="00656612">
        <w:rPr>
          <w:rFonts w:ascii="Times New Roman" w:hAnsi="Times New Roman" w:cs="Times New Roman"/>
          <w:sz w:val="24"/>
          <w:szCs w:val="24"/>
        </w:rPr>
        <w:t>after they</w:t>
      </w:r>
      <w:r w:rsidR="005772C2">
        <w:rPr>
          <w:rFonts w:ascii="Times New Roman" w:hAnsi="Times New Roman" w:cs="Times New Roman"/>
          <w:sz w:val="24"/>
          <w:szCs w:val="24"/>
        </w:rPr>
        <w:t xml:space="preserve"> </w:t>
      </w:r>
      <w:r w:rsidR="004E2A32">
        <w:rPr>
          <w:rFonts w:ascii="Times New Roman" w:hAnsi="Times New Roman" w:cs="Times New Roman"/>
          <w:sz w:val="24"/>
          <w:szCs w:val="24"/>
        </w:rPr>
        <w:t xml:space="preserve">are discovered to be overly optimistic or </w:t>
      </w:r>
      <w:r w:rsidR="005772C2">
        <w:rPr>
          <w:rFonts w:ascii="Times New Roman" w:hAnsi="Times New Roman" w:cs="Times New Roman"/>
          <w:sz w:val="24"/>
          <w:szCs w:val="24"/>
        </w:rPr>
        <w:t xml:space="preserve">to </w:t>
      </w:r>
      <w:r w:rsidR="004E2A32">
        <w:rPr>
          <w:rFonts w:ascii="Times New Roman" w:hAnsi="Times New Roman" w:cs="Times New Roman"/>
          <w:sz w:val="24"/>
          <w:szCs w:val="24"/>
        </w:rPr>
        <w:t xml:space="preserve">select more optimistic assumptions </w:t>
      </w:r>
      <w:r w:rsidR="005772C2">
        <w:rPr>
          <w:rFonts w:ascii="Times New Roman" w:hAnsi="Times New Roman" w:cs="Times New Roman"/>
          <w:sz w:val="24"/>
          <w:szCs w:val="24"/>
        </w:rPr>
        <w:t xml:space="preserve">in order to ease </w:t>
      </w:r>
      <w:r w:rsidR="004E2A32">
        <w:rPr>
          <w:rFonts w:ascii="Times New Roman" w:hAnsi="Times New Roman" w:cs="Times New Roman"/>
          <w:sz w:val="24"/>
          <w:szCs w:val="24"/>
        </w:rPr>
        <w:t xml:space="preserve">budgetary </w:t>
      </w:r>
      <w:r w:rsidR="005772C2">
        <w:rPr>
          <w:rFonts w:ascii="Times New Roman" w:hAnsi="Times New Roman" w:cs="Times New Roman"/>
          <w:sz w:val="24"/>
          <w:szCs w:val="24"/>
        </w:rPr>
        <w:t>constraints</w:t>
      </w:r>
      <w:r w:rsidR="004E2A32">
        <w:rPr>
          <w:rFonts w:ascii="Times New Roman" w:hAnsi="Times New Roman" w:cs="Times New Roman"/>
          <w:sz w:val="24"/>
          <w:szCs w:val="24"/>
        </w:rPr>
        <w:t xml:space="preserve">. </w:t>
      </w:r>
      <w:r w:rsidR="00A64869" w:rsidRPr="0000355F">
        <w:rPr>
          <w:rFonts w:ascii="Times New Roman" w:hAnsi="Times New Roman" w:cs="Times New Roman"/>
          <w:i/>
          <w:sz w:val="24"/>
          <w:szCs w:val="24"/>
        </w:rPr>
        <w:t>Second</w:t>
      </w:r>
      <w:r w:rsidR="001B5206">
        <w:rPr>
          <w:rFonts w:ascii="Times New Roman" w:hAnsi="Times New Roman" w:cs="Times New Roman"/>
          <w:sz w:val="24"/>
          <w:szCs w:val="24"/>
        </w:rPr>
        <w:t xml:space="preserve">, most of the </w:t>
      </w:r>
      <w:r w:rsidR="00F64DAB">
        <w:rPr>
          <w:rFonts w:ascii="Times New Roman" w:hAnsi="Times New Roman" w:cs="Times New Roman"/>
          <w:sz w:val="24"/>
          <w:szCs w:val="24"/>
        </w:rPr>
        <w:t xml:space="preserve">current </w:t>
      </w:r>
      <w:r w:rsidR="001B5206">
        <w:rPr>
          <w:rFonts w:ascii="Times New Roman" w:hAnsi="Times New Roman" w:cs="Times New Roman"/>
          <w:sz w:val="24"/>
          <w:szCs w:val="24"/>
        </w:rPr>
        <w:t>attention</w:t>
      </w:r>
      <w:r w:rsidR="00F64DAB">
        <w:rPr>
          <w:rFonts w:ascii="Times New Roman" w:hAnsi="Times New Roman" w:cs="Times New Roman"/>
          <w:sz w:val="24"/>
          <w:szCs w:val="24"/>
        </w:rPr>
        <w:t xml:space="preserve"> on actuarial </w:t>
      </w:r>
      <w:r w:rsidR="0000355F">
        <w:rPr>
          <w:rFonts w:ascii="Times New Roman" w:hAnsi="Times New Roman" w:cs="Times New Roman"/>
          <w:sz w:val="24"/>
          <w:szCs w:val="24"/>
        </w:rPr>
        <w:t>inputs</w:t>
      </w:r>
      <w:r w:rsidR="001B5206">
        <w:rPr>
          <w:rFonts w:ascii="Times New Roman" w:hAnsi="Times New Roman" w:cs="Times New Roman"/>
          <w:sz w:val="24"/>
          <w:szCs w:val="24"/>
        </w:rPr>
        <w:t xml:space="preserve"> is</w:t>
      </w:r>
      <w:r w:rsidR="00F64DAB">
        <w:rPr>
          <w:rFonts w:ascii="Times New Roman" w:hAnsi="Times New Roman" w:cs="Times New Roman"/>
          <w:sz w:val="24"/>
          <w:szCs w:val="24"/>
        </w:rPr>
        <w:t xml:space="preserve"> focused</w:t>
      </w:r>
      <w:r w:rsidR="001B5206">
        <w:rPr>
          <w:rFonts w:ascii="Times New Roman" w:hAnsi="Times New Roman" w:cs="Times New Roman"/>
          <w:sz w:val="24"/>
          <w:szCs w:val="24"/>
        </w:rPr>
        <w:t xml:space="preserve"> on the </w:t>
      </w:r>
      <w:r w:rsidR="00EE6E55">
        <w:rPr>
          <w:rFonts w:ascii="Times New Roman" w:hAnsi="Times New Roman" w:cs="Times New Roman"/>
          <w:sz w:val="24"/>
          <w:szCs w:val="24"/>
        </w:rPr>
        <w:t>discount rate</w:t>
      </w:r>
      <w:r w:rsidR="00E31C77">
        <w:rPr>
          <w:rFonts w:ascii="Times New Roman" w:hAnsi="Times New Roman" w:cs="Times New Roman"/>
          <w:sz w:val="24"/>
          <w:szCs w:val="24"/>
        </w:rPr>
        <w:t xml:space="preserve"> (e.g., Anson 2011, Brown et al. 2011, </w:t>
      </w:r>
      <w:proofErr w:type="spellStart"/>
      <w:r w:rsidR="00006749">
        <w:rPr>
          <w:rFonts w:ascii="Times New Roman" w:hAnsi="Times New Roman" w:cs="Times New Roman"/>
          <w:sz w:val="24"/>
          <w:szCs w:val="24"/>
        </w:rPr>
        <w:t>Novy</w:t>
      </w:r>
      <w:proofErr w:type="spellEnd"/>
      <w:r w:rsidR="00006749">
        <w:rPr>
          <w:rFonts w:ascii="Times New Roman" w:hAnsi="Times New Roman" w:cs="Times New Roman"/>
          <w:sz w:val="24"/>
          <w:szCs w:val="24"/>
        </w:rPr>
        <w:t xml:space="preserve">-Marx and </w:t>
      </w:r>
      <w:proofErr w:type="spellStart"/>
      <w:r w:rsidR="00006749">
        <w:rPr>
          <w:rFonts w:ascii="Times New Roman" w:hAnsi="Times New Roman" w:cs="Times New Roman"/>
          <w:sz w:val="24"/>
          <w:szCs w:val="24"/>
        </w:rPr>
        <w:t>Rauh</w:t>
      </w:r>
      <w:proofErr w:type="spellEnd"/>
      <w:r w:rsidR="00006749">
        <w:rPr>
          <w:rFonts w:ascii="Times New Roman" w:hAnsi="Times New Roman" w:cs="Times New Roman"/>
          <w:sz w:val="24"/>
          <w:szCs w:val="24"/>
        </w:rPr>
        <w:t xml:space="preserve"> 2011)</w:t>
      </w:r>
      <w:r w:rsidR="0000355F">
        <w:rPr>
          <w:rFonts w:ascii="Times New Roman" w:hAnsi="Times New Roman" w:cs="Times New Roman"/>
          <w:sz w:val="24"/>
          <w:szCs w:val="24"/>
        </w:rPr>
        <w:t>. W</w:t>
      </w:r>
      <w:r w:rsidR="00542690">
        <w:rPr>
          <w:rFonts w:ascii="Times New Roman" w:hAnsi="Times New Roman" w:cs="Times New Roman"/>
          <w:sz w:val="24"/>
          <w:szCs w:val="24"/>
        </w:rPr>
        <w:t xml:space="preserve">e know little about the </w:t>
      </w:r>
      <w:r w:rsidR="004E2A32">
        <w:rPr>
          <w:rFonts w:ascii="Times New Roman" w:hAnsi="Times New Roman" w:cs="Times New Roman"/>
          <w:sz w:val="24"/>
          <w:szCs w:val="24"/>
        </w:rPr>
        <w:t>importance of other</w:t>
      </w:r>
      <w:r w:rsidR="001B5206">
        <w:rPr>
          <w:rFonts w:ascii="Times New Roman" w:hAnsi="Times New Roman" w:cs="Times New Roman"/>
          <w:sz w:val="24"/>
          <w:szCs w:val="24"/>
        </w:rPr>
        <w:t xml:space="preserve"> actuarial inputs</w:t>
      </w:r>
      <w:r w:rsidR="00542690">
        <w:rPr>
          <w:rFonts w:ascii="Times New Roman" w:hAnsi="Times New Roman" w:cs="Times New Roman"/>
          <w:sz w:val="24"/>
          <w:szCs w:val="24"/>
        </w:rPr>
        <w:t>, such as sal</w:t>
      </w:r>
      <w:r w:rsidR="00BB040D">
        <w:rPr>
          <w:rFonts w:ascii="Times New Roman" w:hAnsi="Times New Roman" w:cs="Times New Roman"/>
          <w:sz w:val="24"/>
          <w:szCs w:val="24"/>
        </w:rPr>
        <w:t>ary growth rate</w:t>
      </w:r>
      <w:r w:rsidR="0062481C">
        <w:rPr>
          <w:rFonts w:ascii="Times New Roman" w:hAnsi="Times New Roman" w:cs="Times New Roman"/>
          <w:sz w:val="24"/>
          <w:szCs w:val="24"/>
        </w:rPr>
        <w:t>s</w:t>
      </w:r>
      <w:r w:rsidR="00542690">
        <w:rPr>
          <w:rFonts w:ascii="Times New Roman" w:hAnsi="Times New Roman" w:cs="Times New Roman"/>
          <w:sz w:val="24"/>
          <w:szCs w:val="24"/>
        </w:rPr>
        <w:t>, amortization periods</w:t>
      </w:r>
      <w:r w:rsidR="0062481C">
        <w:rPr>
          <w:rFonts w:ascii="Times New Roman" w:hAnsi="Times New Roman" w:cs="Times New Roman"/>
          <w:sz w:val="24"/>
          <w:szCs w:val="24"/>
        </w:rPr>
        <w:t xml:space="preserve">, </w:t>
      </w:r>
      <w:r w:rsidR="004B573D">
        <w:rPr>
          <w:rFonts w:ascii="Times New Roman" w:hAnsi="Times New Roman" w:cs="Times New Roman"/>
          <w:sz w:val="24"/>
          <w:szCs w:val="24"/>
        </w:rPr>
        <w:t xml:space="preserve">cost methods, </w:t>
      </w:r>
      <w:r w:rsidR="0062481C">
        <w:rPr>
          <w:rFonts w:ascii="Times New Roman" w:hAnsi="Times New Roman" w:cs="Times New Roman"/>
          <w:sz w:val="24"/>
          <w:szCs w:val="24"/>
        </w:rPr>
        <w:t>and mortality rates</w:t>
      </w:r>
      <w:r w:rsidR="00542690">
        <w:rPr>
          <w:rFonts w:ascii="Times New Roman" w:hAnsi="Times New Roman" w:cs="Times New Roman"/>
          <w:sz w:val="24"/>
          <w:szCs w:val="24"/>
        </w:rPr>
        <w:t>.</w:t>
      </w:r>
      <w:r w:rsidR="001B5206">
        <w:rPr>
          <w:rFonts w:ascii="Times New Roman" w:hAnsi="Times New Roman" w:cs="Times New Roman"/>
          <w:sz w:val="24"/>
          <w:szCs w:val="24"/>
        </w:rPr>
        <w:t xml:space="preserve"> </w:t>
      </w:r>
      <w:r w:rsidR="00A64869" w:rsidRPr="0000355F">
        <w:rPr>
          <w:rFonts w:ascii="Times New Roman" w:hAnsi="Times New Roman" w:cs="Times New Roman"/>
          <w:i/>
          <w:sz w:val="24"/>
          <w:szCs w:val="24"/>
        </w:rPr>
        <w:t>Third</w:t>
      </w:r>
      <w:r w:rsidR="00656612">
        <w:rPr>
          <w:rFonts w:ascii="Times New Roman" w:hAnsi="Times New Roman" w:cs="Times New Roman"/>
          <w:sz w:val="24"/>
          <w:szCs w:val="24"/>
        </w:rPr>
        <w:t xml:space="preserve">, </w:t>
      </w:r>
      <w:r w:rsidR="00A64869">
        <w:rPr>
          <w:rFonts w:ascii="Times New Roman" w:hAnsi="Times New Roman" w:cs="Times New Roman"/>
          <w:sz w:val="24"/>
          <w:szCs w:val="24"/>
        </w:rPr>
        <w:t xml:space="preserve">there is little information on how </w:t>
      </w:r>
      <w:r w:rsidR="00A05C86">
        <w:rPr>
          <w:rFonts w:ascii="Times New Roman" w:hAnsi="Times New Roman" w:cs="Times New Roman"/>
          <w:sz w:val="24"/>
          <w:szCs w:val="24"/>
        </w:rPr>
        <w:t xml:space="preserve">actuarial </w:t>
      </w:r>
      <w:r w:rsidR="00A64869">
        <w:rPr>
          <w:rFonts w:ascii="Times New Roman" w:hAnsi="Times New Roman" w:cs="Times New Roman"/>
          <w:sz w:val="24"/>
          <w:szCs w:val="24"/>
        </w:rPr>
        <w:t>input changes</w:t>
      </w:r>
      <w:r w:rsidR="0008576D">
        <w:rPr>
          <w:rFonts w:ascii="Times New Roman" w:hAnsi="Times New Roman" w:cs="Times New Roman"/>
          <w:sz w:val="24"/>
          <w:szCs w:val="24"/>
        </w:rPr>
        <w:t xml:space="preserve"> are </w:t>
      </w:r>
      <w:r w:rsidR="00A64869">
        <w:rPr>
          <w:rFonts w:ascii="Times New Roman" w:hAnsi="Times New Roman" w:cs="Times New Roman"/>
          <w:sz w:val="24"/>
          <w:szCs w:val="24"/>
        </w:rPr>
        <w:t>affected</w:t>
      </w:r>
      <w:r w:rsidR="0008576D">
        <w:rPr>
          <w:rFonts w:ascii="Times New Roman" w:hAnsi="Times New Roman" w:cs="Times New Roman"/>
          <w:sz w:val="24"/>
          <w:szCs w:val="24"/>
        </w:rPr>
        <w:t xml:space="preserve"> by plan </w:t>
      </w:r>
      <w:r w:rsidR="00EA1B2B">
        <w:rPr>
          <w:rFonts w:ascii="Times New Roman" w:hAnsi="Times New Roman" w:cs="Times New Roman"/>
          <w:sz w:val="24"/>
          <w:szCs w:val="24"/>
        </w:rPr>
        <w:t>characteristics</w:t>
      </w:r>
      <w:r w:rsidR="0008576D">
        <w:rPr>
          <w:rFonts w:ascii="Times New Roman" w:hAnsi="Times New Roman" w:cs="Times New Roman"/>
          <w:sz w:val="24"/>
          <w:szCs w:val="24"/>
        </w:rPr>
        <w:t xml:space="preserve">, such as the demographic profile of </w:t>
      </w:r>
      <w:r w:rsidR="00BD3883">
        <w:rPr>
          <w:rFonts w:ascii="Times New Roman" w:hAnsi="Times New Roman" w:cs="Times New Roman"/>
          <w:sz w:val="24"/>
          <w:szCs w:val="24"/>
        </w:rPr>
        <w:t xml:space="preserve">plan </w:t>
      </w:r>
      <w:r w:rsidR="0008576D">
        <w:rPr>
          <w:rFonts w:ascii="Times New Roman" w:hAnsi="Times New Roman" w:cs="Times New Roman"/>
          <w:sz w:val="24"/>
          <w:szCs w:val="24"/>
        </w:rPr>
        <w:t>participants (i.e., plans where the majority of the participants are young v</w:t>
      </w:r>
      <w:r w:rsidR="00BD3883">
        <w:rPr>
          <w:rFonts w:ascii="Times New Roman" w:hAnsi="Times New Roman" w:cs="Times New Roman"/>
          <w:sz w:val="24"/>
          <w:szCs w:val="24"/>
        </w:rPr>
        <w:t>ersus</w:t>
      </w:r>
      <w:r w:rsidR="0008576D">
        <w:rPr>
          <w:rFonts w:ascii="Times New Roman" w:hAnsi="Times New Roman" w:cs="Times New Roman"/>
          <w:sz w:val="24"/>
          <w:szCs w:val="24"/>
        </w:rPr>
        <w:t xml:space="preserve"> those where the major of participants are nearing retirement) and </w:t>
      </w:r>
      <w:r w:rsidR="00BD3883">
        <w:rPr>
          <w:rFonts w:ascii="Times New Roman" w:hAnsi="Times New Roman" w:cs="Times New Roman"/>
          <w:sz w:val="24"/>
          <w:szCs w:val="24"/>
        </w:rPr>
        <w:t xml:space="preserve">the </w:t>
      </w:r>
      <w:r w:rsidR="0008576D">
        <w:rPr>
          <w:rFonts w:ascii="Times New Roman" w:hAnsi="Times New Roman" w:cs="Times New Roman"/>
          <w:sz w:val="24"/>
          <w:szCs w:val="24"/>
        </w:rPr>
        <w:t xml:space="preserve">funding </w:t>
      </w:r>
      <w:r w:rsidR="00BD3883">
        <w:rPr>
          <w:rFonts w:ascii="Times New Roman" w:hAnsi="Times New Roman" w:cs="Times New Roman"/>
          <w:sz w:val="24"/>
          <w:szCs w:val="24"/>
        </w:rPr>
        <w:t>condition of pension plans</w:t>
      </w:r>
      <w:r w:rsidR="0008576D">
        <w:rPr>
          <w:rFonts w:ascii="Times New Roman" w:hAnsi="Times New Roman" w:cs="Times New Roman"/>
          <w:sz w:val="24"/>
          <w:szCs w:val="24"/>
        </w:rPr>
        <w:t xml:space="preserve"> (i.e., well-funded plans v</w:t>
      </w:r>
      <w:r w:rsidR="00BD3883">
        <w:rPr>
          <w:rFonts w:ascii="Times New Roman" w:hAnsi="Times New Roman" w:cs="Times New Roman"/>
          <w:sz w:val="24"/>
          <w:szCs w:val="24"/>
        </w:rPr>
        <w:t>ersus</w:t>
      </w:r>
      <w:r w:rsidR="0008576D">
        <w:rPr>
          <w:rFonts w:ascii="Times New Roman" w:hAnsi="Times New Roman" w:cs="Times New Roman"/>
          <w:sz w:val="24"/>
          <w:szCs w:val="24"/>
        </w:rPr>
        <w:t xml:space="preserve"> poorly funded plans).</w:t>
      </w:r>
    </w:p>
    <w:p w14:paraId="4D388843" w14:textId="69676D5C" w:rsidR="00A05C86" w:rsidRPr="003B102B" w:rsidRDefault="00394958" w:rsidP="00A05C86">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ab/>
      </w:r>
      <w:r w:rsidR="00A05C86" w:rsidRPr="003B102B">
        <w:rPr>
          <w:rFonts w:ascii="Times New Roman" w:hAnsi="Times New Roman" w:cs="Times New Roman"/>
          <w:sz w:val="24"/>
          <w:szCs w:val="24"/>
        </w:rPr>
        <w:t xml:space="preserve">This paper seeks to improve </w:t>
      </w:r>
      <w:r w:rsidR="00A05C86">
        <w:rPr>
          <w:rFonts w:ascii="Times New Roman" w:hAnsi="Times New Roman" w:cs="Times New Roman"/>
          <w:sz w:val="24"/>
          <w:szCs w:val="24"/>
        </w:rPr>
        <w:t>our understanding of the public-pension policy debate</w:t>
      </w:r>
      <w:r w:rsidR="00A05C86" w:rsidRPr="003B102B">
        <w:rPr>
          <w:rFonts w:ascii="Times New Roman" w:hAnsi="Times New Roman" w:cs="Times New Roman"/>
          <w:sz w:val="24"/>
          <w:szCs w:val="24"/>
        </w:rPr>
        <w:t xml:space="preserve"> by </w:t>
      </w:r>
      <w:r w:rsidR="00656612">
        <w:rPr>
          <w:rFonts w:ascii="Times New Roman" w:hAnsi="Times New Roman" w:cs="Times New Roman"/>
          <w:sz w:val="24"/>
          <w:szCs w:val="24"/>
        </w:rPr>
        <w:t>providing information to narrow th</w:t>
      </w:r>
      <w:r w:rsidR="00BD3883">
        <w:rPr>
          <w:rFonts w:ascii="Times New Roman" w:hAnsi="Times New Roman" w:cs="Times New Roman"/>
          <w:sz w:val="24"/>
          <w:szCs w:val="24"/>
        </w:rPr>
        <w:t>o</w:t>
      </w:r>
      <w:r w:rsidR="00656612">
        <w:rPr>
          <w:rFonts w:ascii="Times New Roman" w:hAnsi="Times New Roman" w:cs="Times New Roman"/>
          <w:sz w:val="24"/>
          <w:szCs w:val="24"/>
        </w:rPr>
        <w:t xml:space="preserve">se three gaps in the literature. </w:t>
      </w:r>
      <w:r w:rsidR="008F3B3E">
        <w:rPr>
          <w:rFonts w:ascii="Times New Roman" w:hAnsi="Times New Roman" w:cs="Times New Roman"/>
          <w:sz w:val="24"/>
          <w:szCs w:val="24"/>
        </w:rPr>
        <w:t xml:space="preserve">This paper also seeks to expand our understanding of incentives and conditions that may affect the managerial decision-making framework in pension systems (Peng 2004). </w:t>
      </w:r>
      <w:r w:rsidR="00A05C86" w:rsidRPr="003B102B">
        <w:rPr>
          <w:rFonts w:ascii="Times New Roman" w:hAnsi="Times New Roman" w:cs="Times New Roman"/>
          <w:sz w:val="24"/>
          <w:szCs w:val="24"/>
        </w:rPr>
        <w:t xml:space="preserve">We </w:t>
      </w:r>
      <w:r w:rsidR="00656612">
        <w:rPr>
          <w:rFonts w:ascii="Times New Roman" w:hAnsi="Times New Roman" w:cs="Times New Roman"/>
          <w:sz w:val="24"/>
          <w:szCs w:val="24"/>
        </w:rPr>
        <w:t>do this by s</w:t>
      </w:r>
      <w:r w:rsidR="00A05C86" w:rsidRPr="003B102B">
        <w:rPr>
          <w:rFonts w:ascii="Times New Roman" w:hAnsi="Times New Roman" w:cs="Times New Roman"/>
          <w:sz w:val="24"/>
          <w:szCs w:val="24"/>
        </w:rPr>
        <w:t>imulating pension</w:t>
      </w:r>
      <w:r w:rsidR="00A05C86">
        <w:rPr>
          <w:rFonts w:ascii="Times New Roman" w:hAnsi="Times New Roman" w:cs="Times New Roman"/>
          <w:sz w:val="24"/>
          <w:szCs w:val="24"/>
        </w:rPr>
        <w:t xml:space="preserve"> plan</w:t>
      </w:r>
      <w:r w:rsidR="00A05C86" w:rsidRPr="003B102B">
        <w:rPr>
          <w:rFonts w:ascii="Times New Roman" w:hAnsi="Times New Roman" w:cs="Times New Roman"/>
          <w:sz w:val="24"/>
          <w:szCs w:val="24"/>
        </w:rPr>
        <w:t xml:space="preserve">s with </w:t>
      </w:r>
      <w:r w:rsidR="004B573D">
        <w:rPr>
          <w:rFonts w:ascii="Times New Roman" w:hAnsi="Times New Roman" w:cs="Times New Roman"/>
          <w:sz w:val="24"/>
          <w:szCs w:val="24"/>
        </w:rPr>
        <w:t>different age structures and asset levels</w:t>
      </w:r>
      <w:r w:rsidR="00A05C86">
        <w:rPr>
          <w:rFonts w:ascii="Times New Roman" w:hAnsi="Times New Roman" w:cs="Times New Roman"/>
          <w:sz w:val="24"/>
          <w:szCs w:val="24"/>
        </w:rPr>
        <w:t>,</w:t>
      </w:r>
      <w:r w:rsidR="00BD3883">
        <w:rPr>
          <w:rFonts w:ascii="Times New Roman" w:hAnsi="Times New Roman" w:cs="Times New Roman"/>
          <w:sz w:val="24"/>
          <w:szCs w:val="24"/>
        </w:rPr>
        <w:t xml:space="preserve"> and then calculating the change in liabilities and contribution requirements for different values of five </w:t>
      </w:r>
      <w:r w:rsidR="00A05C86" w:rsidRPr="003B102B">
        <w:rPr>
          <w:rFonts w:ascii="Times New Roman" w:hAnsi="Times New Roman" w:cs="Times New Roman"/>
          <w:sz w:val="24"/>
          <w:szCs w:val="24"/>
        </w:rPr>
        <w:t>actuarial inputs</w:t>
      </w:r>
      <w:r w:rsidR="005772C2">
        <w:rPr>
          <w:rFonts w:ascii="Times New Roman" w:hAnsi="Times New Roman" w:cs="Times New Roman"/>
          <w:sz w:val="24"/>
          <w:szCs w:val="24"/>
        </w:rPr>
        <w:t xml:space="preserve"> (discount rates, salary growth rates, mortality tables, cost methods, and amortization periods)</w:t>
      </w:r>
      <w:r w:rsidR="00A05C86" w:rsidRPr="003B102B">
        <w:rPr>
          <w:rFonts w:ascii="Times New Roman" w:hAnsi="Times New Roman" w:cs="Times New Roman"/>
          <w:sz w:val="24"/>
          <w:szCs w:val="24"/>
        </w:rPr>
        <w:t>.</w:t>
      </w:r>
      <w:r w:rsidR="00A05C86">
        <w:rPr>
          <w:rFonts w:ascii="Times New Roman" w:hAnsi="Times New Roman" w:cs="Times New Roman"/>
          <w:sz w:val="24"/>
          <w:szCs w:val="24"/>
        </w:rPr>
        <w:t xml:space="preserve"> </w:t>
      </w:r>
    </w:p>
    <w:p w14:paraId="5A6FD59F" w14:textId="1E3F63CD" w:rsidR="00394958" w:rsidRDefault="00394958" w:rsidP="00663DD8">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The paper proceeds as follows</w:t>
      </w:r>
      <w:r w:rsidR="0008576D">
        <w:rPr>
          <w:rFonts w:ascii="Times New Roman" w:hAnsi="Times New Roman" w:cs="Times New Roman"/>
          <w:sz w:val="24"/>
          <w:szCs w:val="24"/>
        </w:rPr>
        <w:t>. I</w:t>
      </w:r>
      <w:r>
        <w:rPr>
          <w:rFonts w:ascii="Times New Roman" w:hAnsi="Times New Roman" w:cs="Times New Roman"/>
          <w:sz w:val="24"/>
          <w:szCs w:val="24"/>
        </w:rPr>
        <w:t xml:space="preserve">n the next section, </w:t>
      </w:r>
      <w:r w:rsidRPr="003B102B">
        <w:rPr>
          <w:rFonts w:ascii="Times New Roman" w:hAnsi="Times New Roman" w:cs="Times New Roman"/>
          <w:sz w:val="24"/>
          <w:szCs w:val="24"/>
        </w:rPr>
        <w:t>we</w:t>
      </w:r>
      <w:r>
        <w:rPr>
          <w:rFonts w:ascii="Times New Roman" w:hAnsi="Times New Roman" w:cs="Times New Roman"/>
          <w:sz w:val="24"/>
          <w:szCs w:val="24"/>
        </w:rPr>
        <w:t xml:space="preserve"> discuss the </w:t>
      </w:r>
      <w:r w:rsidR="00176DFC">
        <w:rPr>
          <w:rFonts w:ascii="Times New Roman" w:hAnsi="Times New Roman" w:cs="Times New Roman"/>
          <w:sz w:val="24"/>
          <w:szCs w:val="24"/>
        </w:rPr>
        <w:t>actuarial process</w:t>
      </w:r>
      <w:r w:rsidR="00BD3883">
        <w:rPr>
          <w:rFonts w:ascii="Times New Roman" w:hAnsi="Times New Roman" w:cs="Times New Roman"/>
          <w:sz w:val="24"/>
          <w:szCs w:val="24"/>
        </w:rPr>
        <w:t xml:space="preserve">. </w:t>
      </w:r>
      <w:r w:rsidR="00A64869">
        <w:rPr>
          <w:rFonts w:ascii="Times New Roman" w:hAnsi="Times New Roman" w:cs="Times New Roman"/>
          <w:sz w:val="24"/>
          <w:szCs w:val="24"/>
        </w:rPr>
        <w:t xml:space="preserve">Then, we describe the relationship between actuarial inputs and pension management. We then </w:t>
      </w:r>
      <w:r w:rsidR="00176DFC">
        <w:rPr>
          <w:rFonts w:ascii="Times New Roman" w:hAnsi="Times New Roman" w:cs="Times New Roman"/>
          <w:sz w:val="24"/>
          <w:szCs w:val="24"/>
        </w:rPr>
        <w:t xml:space="preserve">discuss each of the actuarial </w:t>
      </w:r>
      <w:r w:rsidR="00656612">
        <w:rPr>
          <w:rFonts w:ascii="Times New Roman" w:hAnsi="Times New Roman" w:cs="Times New Roman"/>
          <w:sz w:val="24"/>
          <w:szCs w:val="24"/>
        </w:rPr>
        <w:t>inputs</w:t>
      </w:r>
      <w:r w:rsidR="00176DFC">
        <w:rPr>
          <w:rFonts w:ascii="Times New Roman" w:hAnsi="Times New Roman" w:cs="Times New Roman"/>
          <w:sz w:val="24"/>
          <w:szCs w:val="24"/>
        </w:rPr>
        <w:t xml:space="preserve"> examined in this study. </w:t>
      </w:r>
      <w:r w:rsidR="00A64869">
        <w:rPr>
          <w:rFonts w:ascii="Times New Roman" w:hAnsi="Times New Roman" w:cs="Times New Roman"/>
          <w:sz w:val="24"/>
          <w:szCs w:val="24"/>
        </w:rPr>
        <w:t>Then, w</w:t>
      </w:r>
      <w:r>
        <w:rPr>
          <w:rFonts w:ascii="Times New Roman" w:hAnsi="Times New Roman" w:cs="Times New Roman"/>
          <w:sz w:val="24"/>
          <w:szCs w:val="24"/>
        </w:rPr>
        <w:t xml:space="preserve">e </w:t>
      </w:r>
      <w:r w:rsidR="00A64869">
        <w:rPr>
          <w:rFonts w:ascii="Times New Roman" w:hAnsi="Times New Roman" w:cs="Times New Roman"/>
          <w:sz w:val="24"/>
          <w:szCs w:val="24"/>
        </w:rPr>
        <w:t xml:space="preserve">present </w:t>
      </w:r>
      <w:r w:rsidR="00EA1B2B">
        <w:rPr>
          <w:rFonts w:ascii="Times New Roman" w:hAnsi="Times New Roman" w:cs="Times New Roman"/>
          <w:sz w:val="24"/>
          <w:szCs w:val="24"/>
        </w:rPr>
        <w:t>the</w:t>
      </w:r>
      <w:r>
        <w:rPr>
          <w:rFonts w:ascii="Times New Roman" w:hAnsi="Times New Roman" w:cs="Times New Roman"/>
          <w:sz w:val="24"/>
          <w:szCs w:val="24"/>
        </w:rPr>
        <w:t xml:space="preserve"> simulation and </w:t>
      </w:r>
      <w:r w:rsidR="0008576D">
        <w:rPr>
          <w:rFonts w:ascii="Times New Roman" w:hAnsi="Times New Roman" w:cs="Times New Roman"/>
          <w:sz w:val="24"/>
          <w:szCs w:val="24"/>
        </w:rPr>
        <w:t>its</w:t>
      </w:r>
      <w:r>
        <w:rPr>
          <w:rFonts w:ascii="Times New Roman" w:hAnsi="Times New Roman" w:cs="Times New Roman"/>
          <w:sz w:val="24"/>
          <w:szCs w:val="24"/>
        </w:rPr>
        <w:t xml:space="preserve"> results. We conclude the paper with a discussion of </w:t>
      </w:r>
      <w:r w:rsidR="00656612">
        <w:rPr>
          <w:rFonts w:ascii="Times New Roman" w:hAnsi="Times New Roman" w:cs="Times New Roman"/>
          <w:sz w:val="24"/>
          <w:szCs w:val="24"/>
        </w:rPr>
        <w:t>key</w:t>
      </w:r>
      <w:r>
        <w:rPr>
          <w:rFonts w:ascii="Times New Roman" w:hAnsi="Times New Roman" w:cs="Times New Roman"/>
          <w:sz w:val="24"/>
          <w:szCs w:val="24"/>
        </w:rPr>
        <w:t xml:space="preserve"> findings</w:t>
      </w:r>
      <w:r w:rsidR="00DD77E6">
        <w:rPr>
          <w:rFonts w:ascii="Times New Roman" w:hAnsi="Times New Roman" w:cs="Times New Roman"/>
          <w:sz w:val="24"/>
          <w:szCs w:val="24"/>
        </w:rPr>
        <w:t>, study limitations,</w:t>
      </w:r>
      <w:r w:rsidR="00EA1B2B">
        <w:rPr>
          <w:rFonts w:ascii="Times New Roman" w:hAnsi="Times New Roman" w:cs="Times New Roman"/>
          <w:sz w:val="24"/>
          <w:szCs w:val="24"/>
        </w:rPr>
        <w:t xml:space="preserve"> and suggestions for further research</w:t>
      </w:r>
      <w:r>
        <w:rPr>
          <w:rFonts w:ascii="Times New Roman" w:hAnsi="Times New Roman" w:cs="Times New Roman"/>
          <w:sz w:val="24"/>
          <w:szCs w:val="24"/>
        </w:rPr>
        <w:t xml:space="preserve">. </w:t>
      </w:r>
    </w:p>
    <w:p w14:paraId="0F6329CE" w14:textId="71A39D9A" w:rsidR="00394958" w:rsidRPr="00BD702E" w:rsidRDefault="00BD702E" w:rsidP="00BD702E">
      <w:pPr>
        <w:spacing w:after="0" w:line="480" w:lineRule="auto"/>
        <w:contextualSpacing/>
        <w:rPr>
          <w:rFonts w:ascii="Times New Roman" w:eastAsiaTheme="majorEastAsia" w:hAnsi="Times New Roman" w:cs="Times New Roman"/>
          <w:iCs/>
          <w:spacing w:val="5"/>
          <w:kern w:val="28"/>
          <w:sz w:val="28"/>
          <w:szCs w:val="28"/>
          <w:lang w:eastAsia="en-US"/>
        </w:rPr>
      </w:pPr>
      <w:r w:rsidRPr="00BD702E">
        <w:rPr>
          <w:rFonts w:ascii="Times New Roman" w:eastAsiaTheme="majorEastAsia" w:hAnsi="Times New Roman" w:cs="Times New Roman"/>
          <w:iCs/>
          <w:spacing w:val="5"/>
          <w:kern w:val="28"/>
          <w:sz w:val="28"/>
          <w:szCs w:val="28"/>
          <w:lang w:eastAsia="en-US"/>
        </w:rPr>
        <w:t>The Actuarial Process</w:t>
      </w:r>
    </w:p>
    <w:p w14:paraId="24F369D1" w14:textId="30265364" w:rsidR="00D92344" w:rsidRDefault="00FB4E89" w:rsidP="00663DD8">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A55BD3">
        <w:rPr>
          <w:rFonts w:ascii="Times New Roman" w:hAnsi="Times New Roman" w:cs="Times New Roman"/>
          <w:sz w:val="24"/>
          <w:szCs w:val="24"/>
        </w:rPr>
        <w:t>Pension a</w:t>
      </w:r>
      <w:r w:rsidR="00611EF0">
        <w:rPr>
          <w:rFonts w:ascii="Times New Roman" w:hAnsi="Times New Roman" w:cs="Times New Roman"/>
          <w:sz w:val="24"/>
          <w:szCs w:val="24"/>
        </w:rPr>
        <w:t xml:space="preserve">ctuarial science is the process of </w:t>
      </w:r>
      <w:r w:rsidR="00E46A8E">
        <w:rPr>
          <w:rFonts w:ascii="Times New Roman" w:hAnsi="Times New Roman" w:cs="Times New Roman"/>
          <w:sz w:val="24"/>
          <w:szCs w:val="24"/>
        </w:rPr>
        <w:t>evaluating</w:t>
      </w:r>
      <w:r w:rsidR="009A31D4">
        <w:rPr>
          <w:rFonts w:ascii="Times New Roman" w:hAnsi="Times New Roman" w:cs="Times New Roman"/>
          <w:sz w:val="24"/>
          <w:szCs w:val="24"/>
        </w:rPr>
        <w:t xml:space="preserve"> assets and liabilities </w:t>
      </w:r>
      <w:r w:rsidR="00A55BD3">
        <w:rPr>
          <w:rFonts w:ascii="Times New Roman" w:hAnsi="Times New Roman" w:cs="Times New Roman"/>
          <w:sz w:val="24"/>
          <w:szCs w:val="24"/>
        </w:rPr>
        <w:t xml:space="preserve">in a pension plan </w:t>
      </w:r>
      <w:r w:rsidR="009A31D4">
        <w:rPr>
          <w:rFonts w:ascii="Times New Roman" w:hAnsi="Times New Roman" w:cs="Times New Roman"/>
          <w:sz w:val="24"/>
          <w:szCs w:val="24"/>
        </w:rPr>
        <w:t>(Ezra 1980).</w:t>
      </w:r>
      <w:r w:rsidR="00611EF0">
        <w:rPr>
          <w:rFonts w:ascii="Times New Roman" w:hAnsi="Times New Roman" w:cs="Times New Roman"/>
          <w:sz w:val="24"/>
          <w:szCs w:val="24"/>
        </w:rPr>
        <w:t xml:space="preserve"> </w:t>
      </w:r>
      <w:r w:rsidR="009B452C">
        <w:rPr>
          <w:rFonts w:ascii="Times New Roman" w:hAnsi="Times New Roman" w:cs="Times New Roman"/>
          <w:sz w:val="24"/>
          <w:szCs w:val="24"/>
        </w:rPr>
        <w:t xml:space="preserve">Liabilities </w:t>
      </w:r>
      <w:r w:rsidR="00611EF0">
        <w:rPr>
          <w:rFonts w:ascii="Times New Roman" w:hAnsi="Times New Roman" w:cs="Times New Roman"/>
          <w:sz w:val="24"/>
          <w:szCs w:val="24"/>
        </w:rPr>
        <w:t>are retirement payments to qualified pension plan participants</w:t>
      </w:r>
      <w:r w:rsidR="00A05C86" w:rsidRPr="00A05C86">
        <w:rPr>
          <w:rFonts w:ascii="Times New Roman" w:hAnsi="Times New Roman" w:cs="Times New Roman"/>
          <w:sz w:val="24"/>
          <w:szCs w:val="24"/>
        </w:rPr>
        <w:t xml:space="preserve"> </w:t>
      </w:r>
      <w:r w:rsidR="00A05C86">
        <w:rPr>
          <w:rFonts w:ascii="Times New Roman" w:hAnsi="Times New Roman" w:cs="Times New Roman"/>
          <w:sz w:val="24"/>
          <w:szCs w:val="24"/>
        </w:rPr>
        <w:t xml:space="preserve">and </w:t>
      </w:r>
      <w:r w:rsidR="006C5485">
        <w:rPr>
          <w:rFonts w:ascii="Times New Roman" w:hAnsi="Times New Roman" w:cs="Times New Roman"/>
          <w:sz w:val="24"/>
          <w:szCs w:val="24"/>
        </w:rPr>
        <w:t xml:space="preserve">their </w:t>
      </w:r>
      <w:r w:rsidR="00A05C86">
        <w:rPr>
          <w:rFonts w:ascii="Times New Roman" w:hAnsi="Times New Roman" w:cs="Times New Roman"/>
          <w:sz w:val="24"/>
          <w:szCs w:val="24"/>
        </w:rPr>
        <w:t>beneficiaries</w:t>
      </w:r>
      <w:r w:rsidR="00611EF0">
        <w:rPr>
          <w:rFonts w:ascii="Times New Roman" w:hAnsi="Times New Roman" w:cs="Times New Roman"/>
          <w:sz w:val="24"/>
          <w:szCs w:val="24"/>
        </w:rPr>
        <w:t xml:space="preserve">. From a </w:t>
      </w:r>
      <w:r w:rsidR="00D92344">
        <w:rPr>
          <w:rFonts w:ascii="Times New Roman" w:hAnsi="Times New Roman" w:cs="Times New Roman"/>
          <w:sz w:val="24"/>
          <w:szCs w:val="24"/>
        </w:rPr>
        <w:t xml:space="preserve">plan </w:t>
      </w:r>
      <w:r w:rsidR="00611EF0">
        <w:rPr>
          <w:rFonts w:ascii="Times New Roman" w:hAnsi="Times New Roman" w:cs="Times New Roman"/>
          <w:sz w:val="24"/>
          <w:szCs w:val="24"/>
        </w:rPr>
        <w:t xml:space="preserve">sponsor’s perspective, the actuarial process helps </w:t>
      </w:r>
      <w:r w:rsidR="00BD3883">
        <w:rPr>
          <w:rFonts w:ascii="Times New Roman" w:hAnsi="Times New Roman" w:cs="Times New Roman"/>
          <w:sz w:val="24"/>
          <w:szCs w:val="24"/>
        </w:rPr>
        <w:t xml:space="preserve">(1) </w:t>
      </w:r>
      <w:r w:rsidR="00611EF0">
        <w:rPr>
          <w:rFonts w:ascii="Times New Roman" w:hAnsi="Times New Roman" w:cs="Times New Roman"/>
          <w:sz w:val="24"/>
          <w:szCs w:val="24"/>
        </w:rPr>
        <w:t xml:space="preserve">calculate the present value of </w:t>
      </w:r>
      <w:r w:rsidR="00D92344">
        <w:rPr>
          <w:rFonts w:ascii="Times New Roman" w:hAnsi="Times New Roman" w:cs="Times New Roman"/>
          <w:sz w:val="24"/>
          <w:szCs w:val="24"/>
        </w:rPr>
        <w:t>their</w:t>
      </w:r>
      <w:r w:rsidR="00BE1058">
        <w:rPr>
          <w:rFonts w:ascii="Times New Roman" w:hAnsi="Times New Roman" w:cs="Times New Roman"/>
          <w:sz w:val="24"/>
          <w:szCs w:val="24"/>
        </w:rPr>
        <w:t xml:space="preserve"> future </w:t>
      </w:r>
      <w:r w:rsidR="00611EF0">
        <w:rPr>
          <w:rFonts w:ascii="Times New Roman" w:hAnsi="Times New Roman" w:cs="Times New Roman"/>
          <w:sz w:val="24"/>
          <w:szCs w:val="24"/>
        </w:rPr>
        <w:t xml:space="preserve">obligations and </w:t>
      </w:r>
      <w:r w:rsidR="00BD3883">
        <w:rPr>
          <w:rFonts w:ascii="Times New Roman" w:hAnsi="Times New Roman" w:cs="Times New Roman"/>
          <w:sz w:val="24"/>
          <w:szCs w:val="24"/>
        </w:rPr>
        <w:t xml:space="preserve">(2) </w:t>
      </w:r>
      <w:r w:rsidR="00D92344">
        <w:rPr>
          <w:rFonts w:ascii="Times New Roman" w:hAnsi="Times New Roman" w:cs="Times New Roman"/>
          <w:sz w:val="24"/>
          <w:szCs w:val="24"/>
        </w:rPr>
        <w:t>develop</w:t>
      </w:r>
      <w:r w:rsidR="00611EF0">
        <w:rPr>
          <w:rFonts w:ascii="Times New Roman" w:hAnsi="Times New Roman" w:cs="Times New Roman"/>
          <w:sz w:val="24"/>
          <w:szCs w:val="24"/>
        </w:rPr>
        <w:t xml:space="preserve"> a savings strategy </w:t>
      </w:r>
      <w:r w:rsidR="00D92344">
        <w:rPr>
          <w:rFonts w:ascii="Times New Roman" w:hAnsi="Times New Roman" w:cs="Times New Roman"/>
          <w:sz w:val="24"/>
          <w:szCs w:val="24"/>
        </w:rPr>
        <w:t xml:space="preserve">that allows them to </w:t>
      </w:r>
      <w:r w:rsidR="00C75FC5">
        <w:rPr>
          <w:rFonts w:ascii="Times New Roman" w:hAnsi="Times New Roman" w:cs="Times New Roman"/>
          <w:sz w:val="24"/>
          <w:szCs w:val="24"/>
        </w:rPr>
        <w:t>smooth</w:t>
      </w:r>
      <w:r w:rsidR="00611EF0">
        <w:rPr>
          <w:rFonts w:ascii="Times New Roman" w:hAnsi="Times New Roman" w:cs="Times New Roman"/>
          <w:sz w:val="24"/>
          <w:szCs w:val="24"/>
        </w:rPr>
        <w:t xml:space="preserve"> </w:t>
      </w:r>
      <w:r w:rsidR="00D92344">
        <w:rPr>
          <w:rFonts w:ascii="Times New Roman" w:hAnsi="Times New Roman" w:cs="Times New Roman"/>
          <w:sz w:val="24"/>
          <w:szCs w:val="24"/>
        </w:rPr>
        <w:t>their</w:t>
      </w:r>
      <w:r w:rsidR="006E2D11">
        <w:rPr>
          <w:rFonts w:ascii="Times New Roman" w:hAnsi="Times New Roman" w:cs="Times New Roman"/>
          <w:sz w:val="24"/>
          <w:szCs w:val="24"/>
        </w:rPr>
        <w:t xml:space="preserve"> budgetary </w:t>
      </w:r>
      <w:r w:rsidR="00611EF0">
        <w:rPr>
          <w:rFonts w:ascii="Times New Roman" w:hAnsi="Times New Roman" w:cs="Times New Roman"/>
          <w:sz w:val="24"/>
          <w:szCs w:val="24"/>
        </w:rPr>
        <w:t>contribution</w:t>
      </w:r>
      <w:r w:rsidR="006E2D11">
        <w:rPr>
          <w:rFonts w:ascii="Times New Roman" w:hAnsi="Times New Roman" w:cs="Times New Roman"/>
          <w:sz w:val="24"/>
          <w:szCs w:val="24"/>
        </w:rPr>
        <w:t xml:space="preserve">s </w:t>
      </w:r>
      <w:r w:rsidR="00BD3883">
        <w:rPr>
          <w:rFonts w:ascii="Times New Roman" w:hAnsi="Times New Roman" w:cs="Times New Roman"/>
          <w:sz w:val="24"/>
          <w:szCs w:val="24"/>
        </w:rPr>
        <w:t>over the years when employees</w:t>
      </w:r>
      <w:r w:rsidR="00D127FB">
        <w:rPr>
          <w:rFonts w:ascii="Times New Roman" w:hAnsi="Times New Roman" w:cs="Times New Roman"/>
          <w:sz w:val="24"/>
          <w:szCs w:val="24"/>
        </w:rPr>
        <w:t xml:space="preserve"> earn their pension benefits.</w:t>
      </w:r>
    </w:p>
    <w:p w14:paraId="7158F868" w14:textId="434D97D8" w:rsidR="00611EF0" w:rsidRDefault="00D92344" w:rsidP="00663DD8">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611EF0">
        <w:rPr>
          <w:rFonts w:ascii="Times New Roman" w:hAnsi="Times New Roman" w:cs="Times New Roman"/>
          <w:sz w:val="24"/>
          <w:szCs w:val="24"/>
        </w:rPr>
        <w:t>This process is riddled with uncertainty</w:t>
      </w:r>
      <w:r w:rsidR="00342C66">
        <w:rPr>
          <w:rFonts w:ascii="Times New Roman" w:hAnsi="Times New Roman" w:cs="Times New Roman"/>
          <w:sz w:val="24"/>
          <w:szCs w:val="24"/>
        </w:rPr>
        <w:t xml:space="preserve"> (Ezra 1980)</w:t>
      </w:r>
      <w:r w:rsidR="00611EF0">
        <w:rPr>
          <w:rFonts w:ascii="Times New Roman" w:hAnsi="Times New Roman" w:cs="Times New Roman"/>
          <w:sz w:val="24"/>
          <w:szCs w:val="24"/>
        </w:rPr>
        <w:t xml:space="preserve">. </w:t>
      </w:r>
      <w:r>
        <w:rPr>
          <w:rFonts w:ascii="Times New Roman" w:hAnsi="Times New Roman" w:cs="Times New Roman"/>
          <w:sz w:val="24"/>
          <w:szCs w:val="24"/>
        </w:rPr>
        <w:t>S</w:t>
      </w:r>
      <w:r w:rsidR="00611EF0">
        <w:rPr>
          <w:rFonts w:ascii="Times New Roman" w:hAnsi="Times New Roman" w:cs="Times New Roman"/>
          <w:sz w:val="24"/>
          <w:szCs w:val="24"/>
        </w:rPr>
        <w:t>ponsors</w:t>
      </w:r>
      <w:r>
        <w:rPr>
          <w:rFonts w:ascii="Times New Roman" w:hAnsi="Times New Roman" w:cs="Times New Roman"/>
          <w:sz w:val="24"/>
          <w:szCs w:val="24"/>
        </w:rPr>
        <w:t xml:space="preserve"> respond to that uncertainty by making </w:t>
      </w:r>
      <w:r w:rsidR="00611EF0">
        <w:rPr>
          <w:rFonts w:ascii="Times New Roman" w:hAnsi="Times New Roman" w:cs="Times New Roman"/>
          <w:sz w:val="24"/>
          <w:szCs w:val="24"/>
        </w:rPr>
        <w:t>important ass</w:t>
      </w:r>
      <w:r>
        <w:rPr>
          <w:rFonts w:ascii="Times New Roman" w:hAnsi="Times New Roman" w:cs="Times New Roman"/>
          <w:sz w:val="24"/>
          <w:szCs w:val="24"/>
        </w:rPr>
        <w:t xml:space="preserve">umptions about the size of </w:t>
      </w:r>
      <w:r w:rsidR="00BD3883">
        <w:rPr>
          <w:rFonts w:ascii="Times New Roman" w:hAnsi="Times New Roman" w:cs="Times New Roman"/>
          <w:sz w:val="24"/>
          <w:szCs w:val="24"/>
        </w:rPr>
        <w:t>their</w:t>
      </w:r>
      <w:r>
        <w:rPr>
          <w:rFonts w:ascii="Times New Roman" w:hAnsi="Times New Roman" w:cs="Times New Roman"/>
          <w:sz w:val="24"/>
          <w:szCs w:val="24"/>
        </w:rPr>
        <w:t xml:space="preserve"> future obligations</w:t>
      </w:r>
      <w:r w:rsidR="00D127FB">
        <w:rPr>
          <w:rFonts w:ascii="Times New Roman" w:hAnsi="Times New Roman" w:cs="Times New Roman"/>
          <w:sz w:val="24"/>
          <w:szCs w:val="24"/>
        </w:rPr>
        <w:t xml:space="preserve">, the likelihood </w:t>
      </w:r>
      <w:r w:rsidR="00A64869">
        <w:rPr>
          <w:rFonts w:ascii="Times New Roman" w:hAnsi="Times New Roman" w:cs="Times New Roman"/>
          <w:sz w:val="24"/>
          <w:szCs w:val="24"/>
        </w:rPr>
        <w:t xml:space="preserve">that </w:t>
      </w:r>
      <w:r w:rsidR="00D127FB">
        <w:rPr>
          <w:rFonts w:ascii="Times New Roman" w:hAnsi="Times New Roman" w:cs="Times New Roman"/>
          <w:sz w:val="24"/>
          <w:szCs w:val="24"/>
        </w:rPr>
        <w:t>benefits will need to be paid,</w:t>
      </w:r>
      <w:r>
        <w:rPr>
          <w:rFonts w:ascii="Times New Roman" w:hAnsi="Times New Roman" w:cs="Times New Roman"/>
          <w:sz w:val="24"/>
          <w:szCs w:val="24"/>
        </w:rPr>
        <w:t xml:space="preserve"> and how much of the obligations should already be funded</w:t>
      </w:r>
      <w:r w:rsidR="00D127FB">
        <w:rPr>
          <w:rFonts w:ascii="Times New Roman" w:hAnsi="Times New Roman" w:cs="Times New Roman"/>
          <w:sz w:val="24"/>
          <w:szCs w:val="24"/>
        </w:rPr>
        <w:t xml:space="preserve"> in order to </w:t>
      </w:r>
      <w:r w:rsidR="00DD77E6">
        <w:rPr>
          <w:rFonts w:ascii="Times New Roman" w:hAnsi="Times New Roman" w:cs="Times New Roman"/>
          <w:sz w:val="24"/>
          <w:szCs w:val="24"/>
        </w:rPr>
        <w:t>have all the necessary assets set aside</w:t>
      </w:r>
      <w:r w:rsidR="00D127FB">
        <w:rPr>
          <w:rFonts w:ascii="Times New Roman" w:hAnsi="Times New Roman" w:cs="Times New Roman"/>
          <w:sz w:val="24"/>
          <w:szCs w:val="24"/>
        </w:rPr>
        <w:t xml:space="preserve"> by the time </w:t>
      </w:r>
      <w:r w:rsidR="00A64869">
        <w:rPr>
          <w:rFonts w:ascii="Times New Roman" w:hAnsi="Times New Roman" w:cs="Times New Roman"/>
          <w:sz w:val="24"/>
          <w:szCs w:val="24"/>
        </w:rPr>
        <w:t>employees retire</w:t>
      </w:r>
      <w:r w:rsidR="00611EF0">
        <w:rPr>
          <w:rFonts w:ascii="Times New Roman" w:hAnsi="Times New Roman" w:cs="Times New Roman"/>
          <w:sz w:val="24"/>
          <w:szCs w:val="24"/>
        </w:rPr>
        <w:t>. As</w:t>
      </w:r>
      <w:r w:rsidR="00D127FB">
        <w:rPr>
          <w:rFonts w:ascii="Times New Roman" w:hAnsi="Times New Roman" w:cs="Times New Roman"/>
          <w:sz w:val="24"/>
          <w:szCs w:val="24"/>
        </w:rPr>
        <w:t xml:space="preserve"> workers near </w:t>
      </w:r>
      <w:r w:rsidR="00D127FB">
        <w:rPr>
          <w:rFonts w:ascii="Times New Roman" w:hAnsi="Times New Roman" w:cs="Times New Roman"/>
          <w:sz w:val="24"/>
          <w:szCs w:val="24"/>
        </w:rPr>
        <w:lastRenderedPageBreak/>
        <w:t>retirement,</w:t>
      </w:r>
      <w:r w:rsidR="00611EF0">
        <w:rPr>
          <w:rFonts w:ascii="Times New Roman" w:hAnsi="Times New Roman" w:cs="Times New Roman"/>
          <w:sz w:val="24"/>
          <w:szCs w:val="24"/>
        </w:rPr>
        <w:t xml:space="preserve"> </w:t>
      </w:r>
      <w:r w:rsidR="00A64869">
        <w:rPr>
          <w:rFonts w:ascii="Times New Roman" w:hAnsi="Times New Roman" w:cs="Times New Roman"/>
          <w:sz w:val="24"/>
          <w:szCs w:val="24"/>
        </w:rPr>
        <w:t xml:space="preserve">the </w:t>
      </w:r>
      <w:r w:rsidR="00611EF0">
        <w:rPr>
          <w:rFonts w:ascii="Times New Roman" w:hAnsi="Times New Roman" w:cs="Times New Roman"/>
          <w:sz w:val="24"/>
          <w:szCs w:val="24"/>
        </w:rPr>
        <w:t>future become</w:t>
      </w:r>
      <w:r w:rsidR="00A64869">
        <w:rPr>
          <w:rFonts w:ascii="Times New Roman" w:hAnsi="Times New Roman" w:cs="Times New Roman"/>
          <w:sz w:val="24"/>
          <w:szCs w:val="24"/>
        </w:rPr>
        <w:t>s</w:t>
      </w:r>
      <w:r w:rsidR="00611EF0">
        <w:rPr>
          <w:rFonts w:ascii="Times New Roman" w:hAnsi="Times New Roman" w:cs="Times New Roman"/>
          <w:sz w:val="24"/>
          <w:szCs w:val="24"/>
        </w:rPr>
        <w:t xml:space="preserve"> more certain</w:t>
      </w:r>
      <w:r w:rsidR="00D127FB">
        <w:rPr>
          <w:rFonts w:ascii="Times New Roman" w:hAnsi="Times New Roman" w:cs="Times New Roman"/>
          <w:sz w:val="24"/>
          <w:szCs w:val="24"/>
        </w:rPr>
        <w:t xml:space="preserve"> and </w:t>
      </w:r>
      <w:r w:rsidR="00611EF0">
        <w:rPr>
          <w:rFonts w:ascii="Times New Roman" w:hAnsi="Times New Roman" w:cs="Times New Roman"/>
          <w:sz w:val="24"/>
          <w:szCs w:val="24"/>
        </w:rPr>
        <w:t>assumptions are less critical</w:t>
      </w:r>
      <w:r>
        <w:rPr>
          <w:rFonts w:ascii="Times New Roman" w:hAnsi="Times New Roman" w:cs="Times New Roman"/>
          <w:sz w:val="24"/>
          <w:szCs w:val="24"/>
        </w:rPr>
        <w:t>. But,</w:t>
      </w:r>
      <w:r w:rsidR="00611EF0">
        <w:rPr>
          <w:rFonts w:ascii="Times New Roman" w:hAnsi="Times New Roman" w:cs="Times New Roman"/>
          <w:sz w:val="24"/>
          <w:szCs w:val="24"/>
        </w:rPr>
        <w:t xml:space="preserve"> once benefits become certain</w:t>
      </w:r>
      <w:r>
        <w:rPr>
          <w:rFonts w:ascii="Times New Roman" w:hAnsi="Times New Roman" w:cs="Times New Roman"/>
          <w:sz w:val="24"/>
          <w:szCs w:val="24"/>
        </w:rPr>
        <w:t xml:space="preserve"> (or even </w:t>
      </w:r>
      <w:r w:rsidR="00DD77E6">
        <w:rPr>
          <w:rFonts w:ascii="Times New Roman" w:hAnsi="Times New Roman" w:cs="Times New Roman"/>
          <w:sz w:val="24"/>
          <w:szCs w:val="24"/>
        </w:rPr>
        <w:t>as they</w:t>
      </w:r>
      <w:r w:rsidR="00A64869">
        <w:rPr>
          <w:rFonts w:ascii="Times New Roman" w:hAnsi="Times New Roman" w:cs="Times New Roman"/>
          <w:sz w:val="24"/>
          <w:szCs w:val="24"/>
        </w:rPr>
        <w:t xml:space="preserve"> </w:t>
      </w:r>
      <w:r>
        <w:rPr>
          <w:rFonts w:ascii="Times New Roman" w:hAnsi="Times New Roman" w:cs="Times New Roman"/>
          <w:sz w:val="24"/>
          <w:szCs w:val="24"/>
        </w:rPr>
        <w:t>near certain</w:t>
      </w:r>
      <w:r w:rsidR="00A64869">
        <w:rPr>
          <w:rFonts w:ascii="Times New Roman" w:hAnsi="Times New Roman" w:cs="Times New Roman"/>
          <w:sz w:val="24"/>
          <w:szCs w:val="24"/>
        </w:rPr>
        <w:t>ty</w:t>
      </w:r>
      <w:r>
        <w:rPr>
          <w:rFonts w:ascii="Times New Roman" w:hAnsi="Times New Roman" w:cs="Times New Roman"/>
          <w:sz w:val="24"/>
          <w:szCs w:val="24"/>
        </w:rPr>
        <w:t xml:space="preserve">), it is generally too late to </w:t>
      </w:r>
      <w:r w:rsidR="00D127FB">
        <w:rPr>
          <w:rFonts w:ascii="Times New Roman" w:hAnsi="Times New Roman" w:cs="Times New Roman"/>
          <w:sz w:val="24"/>
          <w:szCs w:val="24"/>
        </w:rPr>
        <w:t xml:space="preserve">make up a significant </w:t>
      </w:r>
      <w:r w:rsidR="00DD77E6">
        <w:rPr>
          <w:rFonts w:ascii="Times New Roman" w:hAnsi="Times New Roman" w:cs="Times New Roman"/>
          <w:sz w:val="24"/>
          <w:szCs w:val="24"/>
        </w:rPr>
        <w:t>deficit</w:t>
      </w:r>
      <w:r w:rsidR="00D127FB">
        <w:rPr>
          <w:rFonts w:ascii="Times New Roman" w:hAnsi="Times New Roman" w:cs="Times New Roman"/>
          <w:sz w:val="24"/>
          <w:szCs w:val="24"/>
        </w:rPr>
        <w:t xml:space="preserve"> in pension fund</w:t>
      </w:r>
      <w:r w:rsidR="00DD77E6">
        <w:rPr>
          <w:rFonts w:ascii="Times New Roman" w:hAnsi="Times New Roman" w:cs="Times New Roman"/>
          <w:sz w:val="24"/>
          <w:szCs w:val="24"/>
        </w:rPr>
        <w:t>s</w:t>
      </w:r>
      <w:r w:rsidR="00D127FB">
        <w:rPr>
          <w:rFonts w:ascii="Times New Roman" w:hAnsi="Times New Roman" w:cs="Times New Roman"/>
          <w:sz w:val="24"/>
          <w:szCs w:val="24"/>
        </w:rPr>
        <w:t xml:space="preserve">. </w:t>
      </w:r>
      <w:r>
        <w:rPr>
          <w:rFonts w:ascii="Times New Roman" w:hAnsi="Times New Roman" w:cs="Times New Roman"/>
          <w:sz w:val="24"/>
          <w:szCs w:val="24"/>
        </w:rPr>
        <w:t xml:space="preserve">Plan sponsors </w:t>
      </w:r>
      <w:r w:rsidR="00BD3883">
        <w:rPr>
          <w:rFonts w:ascii="Times New Roman" w:hAnsi="Times New Roman" w:cs="Times New Roman"/>
          <w:sz w:val="24"/>
          <w:szCs w:val="24"/>
        </w:rPr>
        <w:t>who</w:t>
      </w:r>
      <w:r>
        <w:rPr>
          <w:rFonts w:ascii="Times New Roman" w:hAnsi="Times New Roman" w:cs="Times New Roman"/>
          <w:sz w:val="24"/>
          <w:szCs w:val="24"/>
        </w:rPr>
        <w:t xml:space="preserve"> set assumptions </w:t>
      </w:r>
      <w:r w:rsidR="00D127FB">
        <w:rPr>
          <w:rFonts w:ascii="Times New Roman" w:hAnsi="Times New Roman" w:cs="Times New Roman"/>
          <w:sz w:val="24"/>
          <w:szCs w:val="24"/>
        </w:rPr>
        <w:t xml:space="preserve">that turn out to be too optimistic </w:t>
      </w:r>
      <w:r w:rsidR="00BE1058">
        <w:rPr>
          <w:rFonts w:ascii="Times New Roman" w:hAnsi="Times New Roman" w:cs="Times New Roman"/>
          <w:sz w:val="24"/>
          <w:szCs w:val="24"/>
        </w:rPr>
        <w:t xml:space="preserve">will not have saved enough to </w:t>
      </w:r>
      <w:r w:rsidR="00A64869">
        <w:rPr>
          <w:rFonts w:ascii="Times New Roman" w:hAnsi="Times New Roman" w:cs="Times New Roman"/>
          <w:sz w:val="24"/>
          <w:szCs w:val="24"/>
        </w:rPr>
        <w:t>pay</w:t>
      </w:r>
      <w:r w:rsidR="00BE1058">
        <w:rPr>
          <w:rFonts w:ascii="Times New Roman" w:hAnsi="Times New Roman" w:cs="Times New Roman"/>
          <w:sz w:val="24"/>
          <w:szCs w:val="24"/>
        </w:rPr>
        <w:t xml:space="preserve"> their </w:t>
      </w:r>
      <w:r w:rsidR="002D6310">
        <w:rPr>
          <w:rFonts w:ascii="Times New Roman" w:hAnsi="Times New Roman" w:cs="Times New Roman"/>
          <w:sz w:val="24"/>
          <w:szCs w:val="24"/>
        </w:rPr>
        <w:t>retirees</w:t>
      </w:r>
      <w:r w:rsidR="00A64869">
        <w:rPr>
          <w:rFonts w:ascii="Times New Roman" w:hAnsi="Times New Roman" w:cs="Times New Roman"/>
          <w:sz w:val="24"/>
          <w:szCs w:val="24"/>
        </w:rPr>
        <w:t>' benefits from pension fund</w:t>
      </w:r>
      <w:r w:rsidR="00BD3883">
        <w:rPr>
          <w:rFonts w:ascii="Times New Roman" w:hAnsi="Times New Roman" w:cs="Times New Roman"/>
          <w:sz w:val="24"/>
          <w:szCs w:val="24"/>
        </w:rPr>
        <w:t xml:space="preserve"> savings</w:t>
      </w:r>
      <w:r w:rsidR="002D6310">
        <w:rPr>
          <w:rFonts w:ascii="Times New Roman" w:hAnsi="Times New Roman" w:cs="Times New Roman"/>
          <w:sz w:val="24"/>
          <w:szCs w:val="24"/>
        </w:rPr>
        <w:t xml:space="preserve">; and, </w:t>
      </w:r>
      <w:r w:rsidR="00D127FB">
        <w:rPr>
          <w:rFonts w:ascii="Times New Roman" w:hAnsi="Times New Roman" w:cs="Times New Roman"/>
          <w:sz w:val="24"/>
          <w:szCs w:val="24"/>
        </w:rPr>
        <w:t xml:space="preserve">in order to make up the short fall, sponsors </w:t>
      </w:r>
      <w:r w:rsidR="00BE1058">
        <w:rPr>
          <w:rFonts w:ascii="Times New Roman" w:hAnsi="Times New Roman" w:cs="Times New Roman"/>
          <w:sz w:val="24"/>
          <w:szCs w:val="24"/>
        </w:rPr>
        <w:t xml:space="preserve">will </w:t>
      </w:r>
      <w:r w:rsidR="00A64869">
        <w:rPr>
          <w:rFonts w:ascii="Times New Roman" w:hAnsi="Times New Roman" w:cs="Times New Roman"/>
          <w:sz w:val="24"/>
          <w:szCs w:val="24"/>
        </w:rPr>
        <w:t xml:space="preserve">need to </w:t>
      </w:r>
      <w:r w:rsidR="00BD3883">
        <w:rPr>
          <w:rFonts w:ascii="Times New Roman" w:hAnsi="Times New Roman" w:cs="Times New Roman"/>
          <w:sz w:val="24"/>
          <w:szCs w:val="24"/>
        </w:rPr>
        <w:t>increase their annual contributions and</w:t>
      </w:r>
      <w:r w:rsidR="00A64869">
        <w:rPr>
          <w:rFonts w:ascii="Times New Roman" w:hAnsi="Times New Roman" w:cs="Times New Roman"/>
          <w:sz w:val="24"/>
          <w:szCs w:val="24"/>
        </w:rPr>
        <w:t>/or</w:t>
      </w:r>
      <w:r w:rsidR="00BD3883">
        <w:rPr>
          <w:rFonts w:ascii="Times New Roman" w:hAnsi="Times New Roman" w:cs="Times New Roman"/>
          <w:sz w:val="24"/>
          <w:szCs w:val="24"/>
        </w:rPr>
        <w:t xml:space="preserve"> consume</w:t>
      </w:r>
      <w:r w:rsidR="00BE1058">
        <w:rPr>
          <w:rFonts w:ascii="Times New Roman" w:hAnsi="Times New Roman" w:cs="Times New Roman"/>
          <w:sz w:val="24"/>
          <w:szCs w:val="24"/>
        </w:rPr>
        <w:t xml:space="preserve"> </w:t>
      </w:r>
      <w:r w:rsidR="0000355F">
        <w:rPr>
          <w:rFonts w:ascii="Times New Roman" w:hAnsi="Times New Roman" w:cs="Times New Roman"/>
          <w:sz w:val="24"/>
          <w:szCs w:val="24"/>
        </w:rPr>
        <w:t xml:space="preserve">pension fund </w:t>
      </w:r>
      <w:r w:rsidR="00BE1058">
        <w:rPr>
          <w:rFonts w:ascii="Times New Roman" w:hAnsi="Times New Roman" w:cs="Times New Roman"/>
          <w:sz w:val="24"/>
          <w:szCs w:val="24"/>
        </w:rPr>
        <w:t xml:space="preserve">assets that </w:t>
      </w:r>
      <w:r w:rsidR="00A64869">
        <w:rPr>
          <w:rFonts w:ascii="Times New Roman" w:hAnsi="Times New Roman" w:cs="Times New Roman"/>
          <w:sz w:val="24"/>
          <w:szCs w:val="24"/>
        </w:rPr>
        <w:t>were</w:t>
      </w:r>
      <w:r w:rsidR="00BE1058">
        <w:rPr>
          <w:rFonts w:ascii="Times New Roman" w:hAnsi="Times New Roman" w:cs="Times New Roman"/>
          <w:sz w:val="24"/>
          <w:szCs w:val="24"/>
        </w:rPr>
        <w:t xml:space="preserve"> intended </w:t>
      </w:r>
      <w:r w:rsidR="00DD77E6">
        <w:rPr>
          <w:rFonts w:ascii="Times New Roman" w:hAnsi="Times New Roman" w:cs="Times New Roman"/>
          <w:sz w:val="24"/>
          <w:szCs w:val="24"/>
        </w:rPr>
        <w:t>for</w:t>
      </w:r>
      <w:r w:rsidR="00BE1058">
        <w:rPr>
          <w:rFonts w:ascii="Times New Roman" w:hAnsi="Times New Roman" w:cs="Times New Roman"/>
          <w:sz w:val="24"/>
          <w:szCs w:val="24"/>
        </w:rPr>
        <w:t xml:space="preserve"> </w:t>
      </w:r>
      <w:r w:rsidR="00BD3883">
        <w:rPr>
          <w:rFonts w:ascii="Times New Roman" w:hAnsi="Times New Roman" w:cs="Times New Roman"/>
          <w:sz w:val="24"/>
          <w:szCs w:val="24"/>
        </w:rPr>
        <w:t>future retirement payments.</w:t>
      </w:r>
    </w:p>
    <w:p w14:paraId="7D3E988D" w14:textId="787F036A" w:rsidR="00095CEF" w:rsidRDefault="00773C14" w:rsidP="00663DD8">
      <w:pPr>
        <w:spacing w:after="0" w:line="480" w:lineRule="auto"/>
        <w:contextualSpacing/>
      </w:pPr>
      <w:r>
        <w:rPr>
          <w:rFonts w:ascii="Times New Roman" w:hAnsi="Times New Roman" w:cs="Times New Roman"/>
          <w:sz w:val="24"/>
          <w:szCs w:val="24"/>
        </w:rPr>
        <w:tab/>
      </w:r>
      <w:r w:rsidR="00D127FB">
        <w:rPr>
          <w:rFonts w:ascii="Times New Roman" w:hAnsi="Times New Roman" w:cs="Times New Roman"/>
          <w:sz w:val="24"/>
          <w:szCs w:val="24"/>
        </w:rPr>
        <w:t xml:space="preserve">In an effort to avoid funding shortfalls, actuaries use </w:t>
      </w:r>
      <w:r w:rsidR="002D6310">
        <w:rPr>
          <w:rFonts w:ascii="Times New Roman" w:hAnsi="Times New Roman" w:cs="Times New Roman"/>
          <w:sz w:val="24"/>
          <w:szCs w:val="24"/>
        </w:rPr>
        <w:t xml:space="preserve">two sets of </w:t>
      </w:r>
      <w:r w:rsidR="00845F02">
        <w:rPr>
          <w:rFonts w:ascii="Times New Roman" w:hAnsi="Times New Roman" w:cs="Times New Roman"/>
          <w:sz w:val="24"/>
          <w:szCs w:val="24"/>
        </w:rPr>
        <w:t xml:space="preserve">assumptions to calculate pension liabilities and contributions </w:t>
      </w:r>
      <w:r w:rsidR="00A64869">
        <w:rPr>
          <w:rFonts w:ascii="Times New Roman" w:hAnsi="Times New Roman" w:cs="Times New Roman"/>
          <w:sz w:val="24"/>
          <w:szCs w:val="24"/>
        </w:rPr>
        <w:t>requirements</w:t>
      </w:r>
      <w:r w:rsidR="003C70BB">
        <w:rPr>
          <w:rFonts w:ascii="Times New Roman" w:hAnsi="Times New Roman" w:cs="Times New Roman"/>
          <w:sz w:val="24"/>
          <w:szCs w:val="24"/>
        </w:rPr>
        <w:t xml:space="preserve"> (</w:t>
      </w:r>
      <w:r w:rsidR="00EA2E07">
        <w:rPr>
          <w:rFonts w:ascii="Times New Roman" w:hAnsi="Times New Roman" w:cs="Times New Roman"/>
          <w:sz w:val="24"/>
          <w:szCs w:val="24"/>
        </w:rPr>
        <w:t>American Academy of Actuaries 2004</w:t>
      </w:r>
      <w:r w:rsidR="003C70BB">
        <w:rPr>
          <w:rFonts w:ascii="Times New Roman" w:hAnsi="Times New Roman" w:cs="Times New Roman"/>
          <w:sz w:val="24"/>
          <w:szCs w:val="24"/>
        </w:rPr>
        <w:t>)</w:t>
      </w:r>
      <w:r w:rsidR="00EA2E07">
        <w:rPr>
          <w:rFonts w:ascii="Times New Roman" w:hAnsi="Times New Roman" w:cs="Times New Roman"/>
          <w:sz w:val="24"/>
          <w:szCs w:val="24"/>
        </w:rPr>
        <w:t>.</w:t>
      </w:r>
      <w:r w:rsidRPr="00773C14">
        <w:rPr>
          <w:rFonts w:ascii="Times New Roman" w:hAnsi="Times New Roman" w:cs="Times New Roman"/>
          <w:sz w:val="24"/>
          <w:szCs w:val="24"/>
        </w:rPr>
        <w:t xml:space="preserve"> </w:t>
      </w:r>
      <w:r w:rsidRPr="00D127FB">
        <w:rPr>
          <w:rFonts w:ascii="Times New Roman" w:hAnsi="Times New Roman" w:cs="Times New Roman"/>
          <w:i/>
          <w:sz w:val="24"/>
          <w:szCs w:val="24"/>
        </w:rPr>
        <w:t>Dem</w:t>
      </w:r>
      <w:r w:rsidR="00DD5B7E" w:rsidRPr="00D127FB">
        <w:rPr>
          <w:rFonts w:ascii="Times New Roman" w:hAnsi="Times New Roman" w:cs="Times New Roman"/>
          <w:i/>
          <w:sz w:val="24"/>
          <w:szCs w:val="24"/>
        </w:rPr>
        <w:t>ographic assumptions</w:t>
      </w:r>
      <w:r w:rsidR="00DD5B7E">
        <w:rPr>
          <w:rFonts w:ascii="Times New Roman" w:hAnsi="Times New Roman" w:cs="Times New Roman"/>
          <w:sz w:val="24"/>
          <w:szCs w:val="24"/>
        </w:rPr>
        <w:t xml:space="preserve"> </w:t>
      </w:r>
      <w:r w:rsidR="00845F02">
        <w:rPr>
          <w:rFonts w:ascii="Times New Roman" w:hAnsi="Times New Roman" w:cs="Times New Roman"/>
          <w:sz w:val="24"/>
          <w:szCs w:val="24"/>
        </w:rPr>
        <w:t>are used to predict</w:t>
      </w:r>
      <w:r w:rsidR="00DD5B7E">
        <w:rPr>
          <w:rFonts w:ascii="Times New Roman" w:hAnsi="Times New Roman" w:cs="Times New Roman"/>
          <w:sz w:val="24"/>
          <w:szCs w:val="24"/>
        </w:rPr>
        <w:t xml:space="preserve"> employee turnover </w:t>
      </w:r>
      <w:r>
        <w:rPr>
          <w:rFonts w:ascii="Times New Roman" w:hAnsi="Times New Roman" w:cs="Times New Roman"/>
          <w:sz w:val="24"/>
          <w:szCs w:val="24"/>
        </w:rPr>
        <w:t xml:space="preserve">and </w:t>
      </w:r>
      <w:r w:rsidR="00845F02">
        <w:rPr>
          <w:rFonts w:ascii="Times New Roman" w:hAnsi="Times New Roman" w:cs="Times New Roman"/>
          <w:sz w:val="24"/>
          <w:szCs w:val="24"/>
        </w:rPr>
        <w:t xml:space="preserve">the number of workers who will </w:t>
      </w:r>
      <w:r>
        <w:rPr>
          <w:rFonts w:ascii="Times New Roman" w:hAnsi="Times New Roman" w:cs="Times New Roman"/>
          <w:sz w:val="24"/>
          <w:szCs w:val="24"/>
        </w:rPr>
        <w:t>qualif</w:t>
      </w:r>
      <w:r w:rsidR="00845F02">
        <w:rPr>
          <w:rFonts w:ascii="Times New Roman" w:hAnsi="Times New Roman" w:cs="Times New Roman"/>
          <w:sz w:val="24"/>
          <w:szCs w:val="24"/>
        </w:rPr>
        <w:t>y</w:t>
      </w:r>
      <w:r>
        <w:rPr>
          <w:rFonts w:ascii="Times New Roman" w:hAnsi="Times New Roman" w:cs="Times New Roman"/>
          <w:sz w:val="24"/>
          <w:szCs w:val="24"/>
        </w:rPr>
        <w:t xml:space="preserve"> for </w:t>
      </w:r>
      <w:r w:rsidR="003314E3">
        <w:rPr>
          <w:rFonts w:ascii="Times New Roman" w:hAnsi="Times New Roman" w:cs="Times New Roman"/>
          <w:sz w:val="24"/>
          <w:szCs w:val="24"/>
        </w:rPr>
        <w:t xml:space="preserve">pension </w:t>
      </w:r>
      <w:r>
        <w:rPr>
          <w:rFonts w:ascii="Times New Roman" w:hAnsi="Times New Roman" w:cs="Times New Roman"/>
          <w:sz w:val="24"/>
          <w:szCs w:val="24"/>
        </w:rPr>
        <w:t xml:space="preserve">benefits. </w:t>
      </w:r>
      <w:r w:rsidR="003314E3">
        <w:rPr>
          <w:rFonts w:ascii="Times New Roman" w:hAnsi="Times New Roman" w:cs="Times New Roman"/>
          <w:sz w:val="24"/>
          <w:szCs w:val="24"/>
        </w:rPr>
        <w:t>Demographic assumptions include m</w:t>
      </w:r>
      <w:r w:rsidRPr="00773C14">
        <w:rPr>
          <w:rFonts w:ascii="Times New Roman" w:hAnsi="Times New Roman" w:cs="Times New Roman"/>
          <w:sz w:val="24"/>
          <w:szCs w:val="24"/>
        </w:rPr>
        <w:t>ortality rate</w:t>
      </w:r>
      <w:r w:rsidR="00A64869">
        <w:rPr>
          <w:rFonts w:ascii="Times New Roman" w:hAnsi="Times New Roman" w:cs="Times New Roman"/>
          <w:sz w:val="24"/>
          <w:szCs w:val="24"/>
        </w:rPr>
        <w:t>s</w:t>
      </w:r>
      <w:r w:rsidRPr="00773C14">
        <w:rPr>
          <w:rFonts w:ascii="Times New Roman" w:hAnsi="Times New Roman" w:cs="Times New Roman"/>
          <w:sz w:val="24"/>
          <w:szCs w:val="24"/>
        </w:rPr>
        <w:t>, turnover rate</w:t>
      </w:r>
      <w:r w:rsidR="00A64869">
        <w:rPr>
          <w:rFonts w:ascii="Times New Roman" w:hAnsi="Times New Roman" w:cs="Times New Roman"/>
          <w:sz w:val="24"/>
          <w:szCs w:val="24"/>
        </w:rPr>
        <w:t>s</w:t>
      </w:r>
      <w:r w:rsidRPr="00773C14">
        <w:rPr>
          <w:rFonts w:ascii="Times New Roman" w:hAnsi="Times New Roman" w:cs="Times New Roman"/>
          <w:sz w:val="24"/>
          <w:szCs w:val="24"/>
        </w:rPr>
        <w:t xml:space="preserve">, </w:t>
      </w:r>
      <w:r>
        <w:rPr>
          <w:rFonts w:ascii="Times New Roman" w:hAnsi="Times New Roman" w:cs="Times New Roman"/>
          <w:sz w:val="24"/>
          <w:szCs w:val="24"/>
        </w:rPr>
        <w:t>disability rate</w:t>
      </w:r>
      <w:r w:rsidR="00A64869">
        <w:rPr>
          <w:rFonts w:ascii="Times New Roman" w:hAnsi="Times New Roman" w:cs="Times New Roman"/>
          <w:sz w:val="24"/>
          <w:szCs w:val="24"/>
        </w:rPr>
        <w:t>s</w:t>
      </w:r>
      <w:r w:rsidR="0019043E">
        <w:rPr>
          <w:rFonts w:ascii="Times New Roman" w:hAnsi="Times New Roman" w:cs="Times New Roman"/>
          <w:sz w:val="24"/>
          <w:szCs w:val="24"/>
        </w:rPr>
        <w:t xml:space="preserve">, and </w:t>
      </w:r>
      <w:r w:rsidR="00D8301F">
        <w:rPr>
          <w:rFonts w:ascii="Times New Roman" w:hAnsi="Times New Roman" w:cs="Times New Roman"/>
          <w:sz w:val="24"/>
          <w:szCs w:val="24"/>
        </w:rPr>
        <w:t>termination rate</w:t>
      </w:r>
      <w:r w:rsidR="00A64869">
        <w:rPr>
          <w:rFonts w:ascii="Times New Roman" w:hAnsi="Times New Roman" w:cs="Times New Roman"/>
          <w:sz w:val="24"/>
          <w:szCs w:val="24"/>
        </w:rPr>
        <w:t>s</w:t>
      </w:r>
      <w:r>
        <w:rPr>
          <w:rFonts w:ascii="Times New Roman" w:hAnsi="Times New Roman" w:cs="Times New Roman"/>
          <w:sz w:val="24"/>
          <w:szCs w:val="24"/>
        </w:rPr>
        <w:t>.</w:t>
      </w:r>
      <w:r w:rsidR="00D127FB">
        <w:rPr>
          <w:rFonts w:ascii="Times New Roman" w:hAnsi="Times New Roman" w:cs="Times New Roman"/>
          <w:sz w:val="24"/>
          <w:szCs w:val="24"/>
        </w:rPr>
        <w:t xml:space="preserve"> </w:t>
      </w:r>
      <w:r w:rsidRPr="00D127FB">
        <w:rPr>
          <w:rFonts w:ascii="Times New Roman" w:hAnsi="Times New Roman" w:cs="Times New Roman"/>
          <w:i/>
          <w:sz w:val="24"/>
          <w:szCs w:val="24"/>
        </w:rPr>
        <w:t>Economic assumptions</w:t>
      </w:r>
      <w:r>
        <w:rPr>
          <w:rFonts w:ascii="Times New Roman" w:hAnsi="Times New Roman" w:cs="Times New Roman"/>
          <w:sz w:val="24"/>
          <w:szCs w:val="24"/>
        </w:rPr>
        <w:t xml:space="preserve"> </w:t>
      </w:r>
      <w:r w:rsidR="00845F02">
        <w:rPr>
          <w:rFonts w:ascii="Times New Roman" w:hAnsi="Times New Roman" w:cs="Times New Roman"/>
          <w:sz w:val="24"/>
          <w:szCs w:val="24"/>
        </w:rPr>
        <w:t xml:space="preserve">are used to forecast growth in the </w:t>
      </w:r>
      <w:r w:rsidR="00FE0C98">
        <w:rPr>
          <w:rFonts w:ascii="Times New Roman" w:hAnsi="Times New Roman" w:cs="Times New Roman"/>
          <w:sz w:val="24"/>
          <w:szCs w:val="24"/>
        </w:rPr>
        <w:t xml:space="preserve">future </w:t>
      </w:r>
      <w:r w:rsidR="00845F02">
        <w:rPr>
          <w:rFonts w:ascii="Times New Roman" w:hAnsi="Times New Roman" w:cs="Times New Roman"/>
          <w:sz w:val="24"/>
          <w:szCs w:val="24"/>
        </w:rPr>
        <w:t xml:space="preserve">value of pension benefits and </w:t>
      </w:r>
      <w:r w:rsidR="00D127FB">
        <w:rPr>
          <w:rFonts w:ascii="Times New Roman" w:hAnsi="Times New Roman" w:cs="Times New Roman"/>
          <w:sz w:val="24"/>
          <w:szCs w:val="24"/>
        </w:rPr>
        <w:t xml:space="preserve">to </w:t>
      </w:r>
      <w:r w:rsidR="00845F02">
        <w:rPr>
          <w:rFonts w:ascii="Times New Roman" w:hAnsi="Times New Roman" w:cs="Times New Roman"/>
          <w:sz w:val="24"/>
          <w:szCs w:val="24"/>
        </w:rPr>
        <w:t xml:space="preserve">calculate the present value of </w:t>
      </w:r>
      <w:r w:rsidR="00FE0C98">
        <w:rPr>
          <w:rFonts w:ascii="Times New Roman" w:hAnsi="Times New Roman" w:cs="Times New Roman"/>
          <w:sz w:val="24"/>
          <w:szCs w:val="24"/>
        </w:rPr>
        <w:t xml:space="preserve">those </w:t>
      </w:r>
      <w:r w:rsidR="00845F02">
        <w:rPr>
          <w:rFonts w:ascii="Times New Roman" w:hAnsi="Times New Roman" w:cs="Times New Roman"/>
          <w:sz w:val="24"/>
          <w:szCs w:val="24"/>
        </w:rPr>
        <w:t xml:space="preserve">future </w:t>
      </w:r>
      <w:r w:rsidR="00FE0C98">
        <w:rPr>
          <w:rFonts w:ascii="Times New Roman" w:hAnsi="Times New Roman" w:cs="Times New Roman"/>
          <w:sz w:val="24"/>
          <w:szCs w:val="24"/>
        </w:rPr>
        <w:t>payments</w:t>
      </w:r>
      <w:r>
        <w:rPr>
          <w:rFonts w:ascii="Times New Roman" w:hAnsi="Times New Roman" w:cs="Times New Roman"/>
          <w:sz w:val="24"/>
          <w:szCs w:val="24"/>
        </w:rPr>
        <w:t>. E</w:t>
      </w:r>
      <w:r w:rsidRPr="00773C14">
        <w:rPr>
          <w:rFonts w:ascii="Times New Roman" w:hAnsi="Times New Roman" w:cs="Times New Roman"/>
          <w:sz w:val="24"/>
          <w:szCs w:val="24"/>
        </w:rPr>
        <w:t>conomic assumptions include inflation rate</w:t>
      </w:r>
      <w:r w:rsidR="00A64869">
        <w:rPr>
          <w:rFonts w:ascii="Times New Roman" w:hAnsi="Times New Roman" w:cs="Times New Roman"/>
          <w:sz w:val="24"/>
          <w:szCs w:val="24"/>
        </w:rPr>
        <w:t>s</w:t>
      </w:r>
      <w:r w:rsidRPr="00773C14">
        <w:rPr>
          <w:rFonts w:ascii="Times New Roman" w:hAnsi="Times New Roman" w:cs="Times New Roman"/>
          <w:sz w:val="24"/>
          <w:szCs w:val="24"/>
        </w:rPr>
        <w:t xml:space="preserve">, </w:t>
      </w:r>
      <w:r w:rsidR="00C45A60">
        <w:rPr>
          <w:rFonts w:ascii="Times New Roman" w:hAnsi="Times New Roman" w:cs="Times New Roman"/>
          <w:sz w:val="24"/>
          <w:szCs w:val="24"/>
        </w:rPr>
        <w:t>discount</w:t>
      </w:r>
      <w:r w:rsidR="00394958">
        <w:rPr>
          <w:rFonts w:ascii="Times New Roman" w:hAnsi="Times New Roman" w:cs="Times New Roman"/>
          <w:sz w:val="24"/>
          <w:szCs w:val="24"/>
        </w:rPr>
        <w:t xml:space="preserve"> rate</w:t>
      </w:r>
      <w:r w:rsidR="00A64869">
        <w:rPr>
          <w:rFonts w:ascii="Times New Roman" w:hAnsi="Times New Roman" w:cs="Times New Roman"/>
          <w:sz w:val="24"/>
          <w:szCs w:val="24"/>
        </w:rPr>
        <w:t>s</w:t>
      </w:r>
      <w:r w:rsidRPr="00773C14">
        <w:rPr>
          <w:rFonts w:ascii="Times New Roman" w:hAnsi="Times New Roman" w:cs="Times New Roman"/>
          <w:sz w:val="24"/>
          <w:szCs w:val="24"/>
        </w:rPr>
        <w:t xml:space="preserve">, and </w:t>
      </w:r>
      <w:r>
        <w:rPr>
          <w:rFonts w:ascii="Times New Roman" w:hAnsi="Times New Roman" w:cs="Times New Roman"/>
          <w:sz w:val="24"/>
          <w:szCs w:val="24"/>
        </w:rPr>
        <w:t>salary</w:t>
      </w:r>
      <w:r w:rsidR="00C45A60">
        <w:rPr>
          <w:rFonts w:ascii="Times New Roman" w:hAnsi="Times New Roman" w:cs="Times New Roman"/>
          <w:sz w:val="24"/>
          <w:szCs w:val="24"/>
        </w:rPr>
        <w:t xml:space="preserve"> growth</w:t>
      </w:r>
      <w:r w:rsidRPr="00773C14">
        <w:rPr>
          <w:rFonts w:ascii="Times New Roman" w:hAnsi="Times New Roman" w:cs="Times New Roman"/>
          <w:sz w:val="24"/>
          <w:szCs w:val="24"/>
        </w:rPr>
        <w:t xml:space="preserve"> rate</w:t>
      </w:r>
      <w:r w:rsidR="00A64869">
        <w:rPr>
          <w:rFonts w:ascii="Times New Roman" w:hAnsi="Times New Roman" w:cs="Times New Roman"/>
          <w:sz w:val="24"/>
          <w:szCs w:val="24"/>
        </w:rPr>
        <w:t>s</w:t>
      </w:r>
      <w:r w:rsidRPr="00773C14">
        <w:rPr>
          <w:rFonts w:ascii="Times New Roman" w:hAnsi="Times New Roman" w:cs="Times New Roman"/>
          <w:sz w:val="24"/>
          <w:szCs w:val="24"/>
        </w:rPr>
        <w:t>.</w:t>
      </w:r>
      <w:r w:rsidRPr="00773C14">
        <w:t xml:space="preserve"> </w:t>
      </w:r>
    </w:p>
    <w:p w14:paraId="631DEF32" w14:textId="77777777" w:rsidR="00DD77E6" w:rsidRDefault="009522A9" w:rsidP="00663DD8">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C07FD0">
        <w:rPr>
          <w:rFonts w:ascii="Times New Roman" w:hAnsi="Times New Roman" w:cs="Times New Roman"/>
          <w:sz w:val="24"/>
          <w:szCs w:val="24"/>
        </w:rPr>
        <w:t xml:space="preserve">Actuaries use those assumptions to calculate pension liabilities and contribution </w:t>
      </w:r>
      <w:r w:rsidR="00A64869">
        <w:rPr>
          <w:rFonts w:ascii="Times New Roman" w:hAnsi="Times New Roman" w:cs="Times New Roman"/>
          <w:sz w:val="24"/>
          <w:szCs w:val="24"/>
        </w:rPr>
        <w:t>requirements</w:t>
      </w:r>
      <w:r w:rsidR="00C07FD0">
        <w:rPr>
          <w:rFonts w:ascii="Times New Roman" w:hAnsi="Times New Roman" w:cs="Times New Roman"/>
          <w:sz w:val="24"/>
          <w:szCs w:val="24"/>
        </w:rPr>
        <w:t xml:space="preserve">. </w:t>
      </w:r>
      <w:r w:rsidR="00C07FD0" w:rsidRPr="00A64869">
        <w:rPr>
          <w:rFonts w:ascii="Times New Roman" w:hAnsi="Times New Roman" w:cs="Times New Roman"/>
          <w:i/>
          <w:sz w:val="24"/>
          <w:szCs w:val="24"/>
        </w:rPr>
        <w:t>Pension liabilities</w:t>
      </w:r>
      <w:r w:rsidR="00C07FD0">
        <w:rPr>
          <w:rFonts w:ascii="Times New Roman" w:hAnsi="Times New Roman" w:cs="Times New Roman"/>
          <w:sz w:val="24"/>
          <w:szCs w:val="24"/>
        </w:rPr>
        <w:t xml:space="preserve"> represent</w:t>
      </w:r>
      <w:r w:rsidR="00845F02">
        <w:rPr>
          <w:rFonts w:ascii="Times New Roman" w:hAnsi="Times New Roman" w:cs="Times New Roman"/>
          <w:sz w:val="24"/>
          <w:szCs w:val="24"/>
        </w:rPr>
        <w:t xml:space="preserve"> </w:t>
      </w:r>
      <w:r w:rsidR="00C07FD0">
        <w:rPr>
          <w:rFonts w:ascii="Times New Roman" w:hAnsi="Times New Roman" w:cs="Times New Roman"/>
          <w:sz w:val="24"/>
          <w:szCs w:val="24"/>
        </w:rPr>
        <w:t xml:space="preserve">the </w:t>
      </w:r>
      <w:r w:rsidR="00FE0C98">
        <w:rPr>
          <w:rFonts w:ascii="Times New Roman" w:hAnsi="Times New Roman" w:cs="Times New Roman"/>
          <w:sz w:val="24"/>
          <w:szCs w:val="24"/>
        </w:rPr>
        <w:t>present</w:t>
      </w:r>
      <w:r w:rsidR="00C07FD0">
        <w:rPr>
          <w:rFonts w:ascii="Times New Roman" w:hAnsi="Times New Roman" w:cs="Times New Roman"/>
          <w:sz w:val="24"/>
          <w:szCs w:val="24"/>
        </w:rPr>
        <w:t xml:space="preserve"> value of future benefit payments that </w:t>
      </w:r>
      <w:r w:rsidR="00A64869">
        <w:rPr>
          <w:rFonts w:ascii="Times New Roman" w:hAnsi="Times New Roman" w:cs="Times New Roman"/>
          <w:sz w:val="24"/>
          <w:szCs w:val="24"/>
        </w:rPr>
        <w:t>ha</w:t>
      </w:r>
      <w:r w:rsidR="00DD77E6">
        <w:rPr>
          <w:rFonts w:ascii="Times New Roman" w:hAnsi="Times New Roman" w:cs="Times New Roman"/>
          <w:sz w:val="24"/>
          <w:szCs w:val="24"/>
        </w:rPr>
        <w:t>ve</w:t>
      </w:r>
      <w:r w:rsidR="00C07FD0">
        <w:rPr>
          <w:rFonts w:ascii="Times New Roman" w:hAnsi="Times New Roman" w:cs="Times New Roman"/>
          <w:sz w:val="24"/>
          <w:szCs w:val="24"/>
        </w:rPr>
        <w:t xml:space="preserve"> already been earned by employees</w:t>
      </w:r>
      <w:r w:rsidR="00EA1B2B">
        <w:rPr>
          <w:rFonts w:ascii="Times New Roman" w:hAnsi="Times New Roman" w:cs="Times New Roman"/>
          <w:sz w:val="24"/>
          <w:szCs w:val="24"/>
        </w:rPr>
        <w:t xml:space="preserve">. The pension liability for a plan with multiple participants is calculated as </w:t>
      </w:r>
      <w:r w:rsidR="00A64869">
        <w:rPr>
          <w:rFonts w:ascii="Times New Roman" w:hAnsi="Times New Roman" w:cs="Times New Roman"/>
          <w:sz w:val="24"/>
          <w:szCs w:val="24"/>
        </w:rPr>
        <w:t xml:space="preserve">the sum of the </w:t>
      </w:r>
      <w:r w:rsidR="00EA1B2B">
        <w:rPr>
          <w:rFonts w:ascii="Times New Roman" w:hAnsi="Times New Roman" w:cs="Times New Roman"/>
          <w:sz w:val="24"/>
          <w:szCs w:val="24"/>
        </w:rPr>
        <w:t xml:space="preserve">individual </w:t>
      </w:r>
      <w:r w:rsidR="00A64869">
        <w:rPr>
          <w:rFonts w:ascii="Times New Roman" w:hAnsi="Times New Roman" w:cs="Times New Roman"/>
          <w:sz w:val="24"/>
          <w:szCs w:val="24"/>
        </w:rPr>
        <w:t>liabilities for each qualified plan participant</w:t>
      </w:r>
      <w:r w:rsidR="00C07FD0">
        <w:rPr>
          <w:rFonts w:ascii="Times New Roman" w:hAnsi="Times New Roman" w:cs="Times New Roman"/>
          <w:sz w:val="24"/>
          <w:szCs w:val="24"/>
        </w:rPr>
        <w:t xml:space="preserve">. </w:t>
      </w:r>
      <w:r w:rsidR="00C07FD0" w:rsidRPr="00A64869">
        <w:rPr>
          <w:rFonts w:ascii="Times New Roman" w:hAnsi="Times New Roman" w:cs="Times New Roman"/>
          <w:i/>
          <w:sz w:val="24"/>
          <w:szCs w:val="24"/>
        </w:rPr>
        <w:t xml:space="preserve">Contribution </w:t>
      </w:r>
      <w:r w:rsidR="00FE0C98" w:rsidRPr="00A64869">
        <w:rPr>
          <w:rFonts w:ascii="Times New Roman" w:hAnsi="Times New Roman" w:cs="Times New Roman"/>
          <w:i/>
          <w:sz w:val="24"/>
          <w:szCs w:val="24"/>
        </w:rPr>
        <w:t>requirements</w:t>
      </w:r>
      <w:r w:rsidR="00C07FD0">
        <w:rPr>
          <w:rFonts w:ascii="Times New Roman" w:hAnsi="Times New Roman" w:cs="Times New Roman"/>
          <w:sz w:val="24"/>
          <w:szCs w:val="24"/>
        </w:rPr>
        <w:t xml:space="preserve"> represent </w:t>
      </w:r>
      <w:r w:rsidR="00A64869">
        <w:rPr>
          <w:rFonts w:ascii="Times New Roman" w:hAnsi="Times New Roman" w:cs="Times New Roman"/>
          <w:sz w:val="24"/>
          <w:szCs w:val="24"/>
        </w:rPr>
        <w:t xml:space="preserve">the </w:t>
      </w:r>
      <w:r w:rsidR="00FE0C98">
        <w:rPr>
          <w:rFonts w:ascii="Times New Roman" w:hAnsi="Times New Roman" w:cs="Times New Roman"/>
          <w:sz w:val="24"/>
          <w:szCs w:val="24"/>
        </w:rPr>
        <w:t>actuarially determined</w:t>
      </w:r>
      <w:r w:rsidR="0010464D">
        <w:rPr>
          <w:rFonts w:ascii="Times New Roman" w:hAnsi="Times New Roman" w:cs="Times New Roman"/>
          <w:sz w:val="24"/>
          <w:szCs w:val="24"/>
        </w:rPr>
        <w:t xml:space="preserve"> </w:t>
      </w:r>
      <w:r w:rsidR="00A64869">
        <w:rPr>
          <w:rFonts w:ascii="Times New Roman" w:hAnsi="Times New Roman" w:cs="Times New Roman"/>
          <w:sz w:val="24"/>
          <w:szCs w:val="24"/>
        </w:rPr>
        <w:t xml:space="preserve">amount of money that needs to be deposited each year into a pension fund and held in trust for future benefit payments. </w:t>
      </w:r>
    </w:p>
    <w:p w14:paraId="3D59C1CD" w14:textId="3BB2EBD9" w:rsidR="00DD77E6" w:rsidRDefault="00DD77E6" w:rsidP="00663DD8">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A64869">
        <w:rPr>
          <w:rFonts w:ascii="Times New Roman" w:hAnsi="Times New Roman" w:cs="Times New Roman"/>
          <w:sz w:val="24"/>
          <w:szCs w:val="24"/>
        </w:rPr>
        <w:t>The</w:t>
      </w:r>
      <w:r w:rsidR="00C07FD0">
        <w:rPr>
          <w:rFonts w:ascii="Times New Roman" w:hAnsi="Times New Roman" w:cs="Times New Roman"/>
          <w:sz w:val="24"/>
          <w:szCs w:val="24"/>
        </w:rPr>
        <w:t xml:space="preserve"> two </w:t>
      </w:r>
      <w:r w:rsidR="0010464D">
        <w:rPr>
          <w:rFonts w:ascii="Times New Roman" w:hAnsi="Times New Roman" w:cs="Times New Roman"/>
          <w:sz w:val="24"/>
          <w:szCs w:val="24"/>
        </w:rPr>
        <w:t>measures</w:t>
      </w:r>
      <w:r w:rsidR="00C07FD0">
        <w:rPr>
          <w:rFonts w:ascii="Times New Roman" w:hAnsi="Times New Roman" w:cs="Times New Roman"/>
          <w:sz w:val="24"/>
          <w:szCs w:val="24"/>
        </w:rPr>
        <w:t xml:space="preserve"> are highly related. </w:t>
      </w:r>
      <w:r w:rsidR="00A846A2">
        <w:rPr>
          <w:rFonts w:ascii="Times New Roman" w:hAnsi="Times New Roman" w:cs="Times New Roman"/>
          <w:sz w:val="24"/>
          <w:szCs w:val="24"/>
        </w:rPr>
        <w:t>One</w:t>
      </w:r>
      <w:r w:rsidR="00095CEF" w:rsidRPr="00773C14">
        <w:rPr>
          <w:rFonts w:ascii="Times New Roman" w:hAnsi="Times New Roman" w:cs="Times New Roman"/>
          <w:sz w:val="24"/>
          <w:szCs w:val="24"/>
        </w:rPr>
        <w:t xml:space="preserve"> </w:t>
      </w:r>
      <w:r w:rsidR="00C07FD0">
        <w:rPr>
          <w:rFonts w:ascii="Times New Roman" w:hAnsi="Times New Roman" w:cs="Times New Roman"/>
          <w:sz w:val="24"/>
          <w:szCs w:val="24"/>
        </w:rPr>
        <w:t>portion of the contribution</w:t>
      </w:r>
      <w:r w:rsidR="00A846A2">
        <w:rPr>
          <w:rFonts w:ascii="Times New Roman" w:hAnsi="Times New Roman" w:cs="Times New Roman"/>
          <w:sz w:val="24"/>
          <w:szCs w:val="24"/>
        </w:rPr>
        <w:t xml:space="preserve"> requirement is the amount of money needed to </w:t>
      </w:r>
      <w:r w:rsidR="0010464D">
        <w:rPr>
          <w:rFonts w:ascii="Times New Roman" w:hAnsi="Times New Roman" w:cs="Times New Roman"/>
          <w:sz w:val="24"/>
          <w:szCs w:val="24"/>
        </w:rPr>
        <w:t xml:space="preserve">cover the </w:t>
      </w:r>
      <w:r w:rsidR="003314E3">
        <w:rPr>
          <w:rFonts w:ascii="Times New Roman" w:hAnsi="Times New Roman" w:cs="Times New Roman"/>
          <w:sz w:val="24"/>
          <w:szCs w:val="24"/>
        </w:rPr>
        <w:t xml:space="preserve">benefits that </w:t>
      </w:r>
      <w:r w:rsidR="0010464D">
        <w:rPr>
          <w:rFonts w:ascii="Times New Roman" w:hAnsi="Times New Roman" w:cs="Times New Roman"/>
          <w:sz w:val="24"/>
          <w:szCs w:val="24"/>
        </w:rPr>
        <w:t>are</w:t>
      </w:r>
      <w:r w:rsidR="003314E3">
        <w:rPr>
          <w:rFonts w:ascii="Times New Roman" w:hAnsi="Times New Roman" w:cs="Times New Roman"/>
          <w:sz w:val="24"/>
          <w:szCs w:val="24"/>
        </w:rPr>
        <w:t xml:space="preserve"> earned in the </w:t>
      </w:r>
      <w:r w:rsidR="00C07FD0">
        <w:rPr>
          <w:rFonts w:ascii="Times New Roman" w:hAnsi="Times New Roman" w:cs="Times New Roman"/>
          <w:sz w:val="24"/>
          <w:szCs w:val="24"/>
        </w:rPr>
        <w:t>current</w:t>
      </w:r>
      <w:r w:rsidR="003314E3">
        <w:rPr>
          <w:rFonts w:ascii="Times New Roman" w:hAnsi="Times New Roman" w:cs="Times New Roman"/>
          <w:sz w:val="24"/>
          <w:szCs w:val="24"/>
        </w:rPr>
        <w:t xml:space="preserve"> year</w:t>
      </w:r>
      <w:r w:rsidR="00A846A2">
        <w:rPr>
          <w:rFonts w:ascii="Times New Roman" w:hAnsi="Times New Roman" w:cs="Times New Roman"/>
          <w:sz w:val="24"/>
          <w:szCs w:val="24"/>
        </w:rPr>
        <w:t xml:space="preserve"> (the </w:t>
      </w:r>
      <w:r w:rsidR="00095CEF">
        <w:rPr>
          <w:rFonts w:ascii="Times New Roman" w:hAnsi="Times New Roman" w:cs="Times New Roman"/>
          <w:sz w:val="24"/>
          <w:szCs w:val="24"/>
        </w:rPr>
        <w:t>normal cost (NC)</w:t>
      </w:r>
      <w:r>
        <w:rPr>
          <w:rFonts w:ascii="Times New Roman" w:hAnsi="Times New Roman" w:cs="Times New Roman"/>
          <w:sz w:val="24"/>
          <w:szCs w:val="24"/>
        </w:rPr>
        <w:t xml:space="preserve">). Pension liabilities, or </w:t>
      </w:r>
      <w:r w:rsidR="0000355F">
        <w:rPr>
          <w:rFonts w:ascii="Times New Roman" w:hAnsi="Times New Roman" w:cs="Times New Roman"/>
          <w:sz w:val="24"/>
          <w:szCs w:val="24"/>
        </w:rPr>
        <w:t xml:space="preserve">the </w:t>
      </w:r>
      <w:r w:rsidR="00A846A2">
        <w:rPr>
          <w:rFonts w:ascii="Times New Roman" w:hAnsi="Times New Roman" w:cs="Times New Roman"/>
          <w:sz w:val="24"/>
          <w:szCs w:val="24"/>
        </w:rPr>
        <w:t>actuarially accrued liability (AAL)</w:t>
      </w:r>
      <w:r>
        <w:rPr>
          <w:rFonts w:ascii="Times New Roman" w:hAnsi="Times New Roman" w:cs="Times New Roman"/>
          <w:sz w:val="24"/>
          <w:szCs w:val="24"/>
        </w:rPr>
        <w:t>, are</w:t>
      </w:r>
      <w:r w:rsidR="00A846A2">
        <w:rPr>
          <w:rFonts w:ascii="Times New Roman" w:hAnsi="Times New Roman" w:cs="Times New Roman"/>
          <w:sz w:val="24"/>
          <w:szCs w:val="24"/>
        </w:rPr>
        <w:t xml:space="preserve"> the </w:t>
      </w:r>
      <w:r w:rsidR="00B92F31">
        <w:rPr>
          <w:rFonts w:ascii="Times New Roman" w:hAnsi="Times New Roman" w:cs="Times New Roman"/>
          <w:sz w:val="24"/>
          <w:szCs w:val="24"/>
        </w:rPr>
        <w:t>accumulation of normal cost</w:t>
      </w:r>
      <w:r w:rsidR="00C45A60">
        <w:rPr>
          <w:rFonts w:ascii="Times New Roman" w:hAnsi="Times New Roman" w:cs="Times New Roman"/>
          <w:sz w:val="24"/>
          <w:szCs w:val="24"/>
        </w:rPr>
        <w:t>s</w:t>
      </w:r>
      <w:r w:rsidR="00B92F31">
        <w:rPr>
          <w:rFonts w:ascii="Times New Roman" w:hAnsi="Times New Roman" w:cs="Times New Roman"/>
          <w:sz w:val="24"/>
          <w:szCs w:val="24"/>
        </w:rPr>
        <w:t xml:space="preserve"> </w:t>
      </w:r>
      <w:r w:rsidR="00A846A2">
        <w:rPr>
          <w:rFonts w:ascii="Times New Roman" w:hAnsi="Times New Roman" w:cs="Times New Roman"/>
          <w:sz w:val="24"/>
          <w:szCs w:val="24"/>
        </w:rPr>
        <w:t>for all the</w:t>
      </w:r>
      <w:r w:rsidR="00B92F31">
        <w:rPr>
          <w:rFonts w:ascii="Times New Roman" w:hAnsi="Times New Roman" w:cs="Times New Roman"/>
          <w:sz w:val="24"/>
          <w:szCs w:val="24"/>
        </w:rPr>
        <w:t xml:space="preserve"> </w:t>
      </w:r>
      <w:r w:rsidR="00A846A2">
        <w:rPr>
          <w:rFonts w:ascii="Times New Roman" w:hAnsi="Times New Roman" w:cs="Times New Roman"/>
          <w:sz w:val="24"/>
          <w:szCs w:val="24"/>
        </w:rPr>
        <w:t xml:space="preserve">completed years of </w:t>
      </w:r>
      <w:r>
        <w:rPr>
          <w:rFonts w:ascii="Times New Roman" w:hAnsi="Times New Roman" w:cs="Times New Roman"/>
          <w:sz w:val="24"/>
          <w:szCs w:val="24"/>
        </w:rPr>
        <w:t xml:space="preserve">employees’ </w:t>
      </w:r>
      <w:r w:rsidR="00B92F31">
        <w:rPr>
          <w:rFonts w:ascii="Times New Roman" w:hAnsi="Times New Roman" w:cs="Times New Roman"/>
          <w:sz w:val="24"/>
          <w:szCs w:val="24"/>
        </w:rPr>
        <w:t>service</w:t>
      </w:r>
      <w:r w:rsidR="00031B7D">
        <w:rPr>
          <w:rFonts w:ascii="Times New Roman" w:hAnsi="Times New Roman" w:cs="Times New Roman"/>
          <w:sz w:val="24"/>
          <w:szCs w:val="24"/>
        </w:rPr>
        <w:t xml:space="preserve">. </w:t>
      </w:r>
    </w:p>
    <w:p w14:paraId="19DC083B" w14:textId="4A9E56A5" w:rsidR="00CC448E" w:rsidRDefault="00DD77E6" w:rsidP="00663DD8">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ab/>
      </w:r>
      <w:r w:rsidR="00CC448E">
        <w:rPr>
          <w:rFonts w:ascii="Times New Roman" w:hAnsi="Times New Roman" w:cs="Times New Roman"/>
          <w:sz w:val="24"/>
          <w:szCs w:val="24"/>
        </w:rPr>
        <w:t xml:space="preserve">When pension funds do not hold </w:t>
      </w:r>
      <w:r w:rsidR="0010464D">
        <w:rPr>
          <w:rFonts w:ascii="Times New Roman" w:hAnsi="Times New Roman" w:cs="Times New Roman"/>
          <w:sz w:val="24"/>
          <w:szCs w:val="24"/>
        </w:rPr>
        <w:t xml:space="preserve">sufficient </w:t>
      </w:r>
      <w:r w:rsidR="00CC448E">
        <w:rPr>
          <w:rFonts w:ascii="Times New Roman" w:hAnsi="Times New Roman" w:cs="Times New Roman"/>
          <w:sz w:val="24"/>
          <w:szCs w:val="24"/>
        </w:rPr>
        <w:t>assets to cover the</w:t>
      </w:r>
      <w:r w:rsidR="0010464D">
        <w:rPr>
          <w:rFonts w:ascii="Times New Roman" w:hAnsi="Times New Roman" w:cs="Times New Roman"/>
          <w:sz w:val="24"/>
          <w:szCs w:val="24"/>
        </w:rPr>
        <w:t>ir</w:t>
      </w:r>
      <w:r w:rsidR="00CC448E">
        <w:rPr>
          <w:rFonts w:ascii="Times New Roman" w:hAnsi="Times New Roman" w:cs="Times New Roman"/>
          <w:sz w:val="24"/>
          <w:szCs w:val="24"/>
        </w:rPr>
        <w:t xml:space="preserve"> AAL, the plan recognizes an unfunded actuarial accrued liability (UAAL). P</w:t>
      </w:r>
      <w:r w:rsidR="00EB413D">
        <w:rPr>
          <w:rFonts w:ascii="Times New Roman" w:hAnsi="Times New Roman" w:cs="Times New Roman"/>
          <w:sz w:val="24"/>
          <w:szCs w:val="24"/>
        </w:rPr>
        <w:t>lan</w:t>
      </w:r>
      <w:r w:rsidR="00CC448E">
        <w:rPr>
          <w:rFonts w:ascii="Times New Roman" w:hAnsi="Times New Roman" w:cs="Times New Roman"/>
          <w:sz w:val="24"/>
          <w:szCs w:val="24"/>
        </w:rPr>
        <w:t>s</w:t>
      </w:r>
      <w:r w:rsidR="00EB413D">
        <w:rPr>
          <w:rFonts w:ascii="Times New Roman" w:hAnsi="Times New Roman" w:cs="Times New Roman"/>
          <w:sz w:val="24"/>
          <w:szCs w:val="24"/>
        </w:rPr>
        <w:t xml:space="preserve"> </w:t>
      </w:r>
      <w:r w:rsidR="00CC448E">
        <w:rPr>
          <w:rFonts w:ascii="Times New Roman" w:hAnsi="Times New Roman" w:cs="Times New Roman"/>
          <w:sz w:val="24"/>
          <w:szCs w:val="24"/>
        </w:rPr>
        <w:t>with UAALs</w:t>
      </w:r>
      <w:r w:rsidR="00EB413D">
        <w:rPr>
          <w:rFonts w:ascii="Times New Roman" w:hAnsi="Times New Roman" w:cs="Times New Roman"/>
          <w:sz w:val="24"/>
          <w:szCs w:val="24"/>
        </w:rPr>
        <w:t xml:space="preserve"> are </w:t>
      </w:r>
      <w:r w:rsidR="003314E3">
        <w:rPr>
          <w:rFonts w:ascii="Times New Roman" w:hAnsi="Times New Roman" w:cs="Times New Roman"/>
          <w:sz w:val="24"/>
          <w:szCs w:val="24"/>
        </w:rPr>
        <w:t xml:space="preserve">not expected to make up </w:t>
      </w:r>
      <w:r w:rsidR="00A846A2">
        <w:rPr>
          <w:rFonts w:ascii="Times New Roman" w:hAnsi="Times New Roman" w:cs="Times New Roman"/>
          <w:sz w:val="24"/>
          <w:szCs w:val="24"/>
        </w:rPr>
        <w:t>the</w:t>
      </w:r>
      <w:r w:rsidR="00EB413D">
        <w:rPr>
          <w:rFonts w:ascii="Times New Roman" w:hAnsi="Times New Roman" w:cs="Times New Roman"/>
          <w:sz w:val="24"/>
          <w:szCs w:val="24"/>
        </w:rPr>
        <w:t xml:space="preserve"> shortfall</w:t>
      </w:r>
      <w:r w:rsidR="00A846A2">
        <w:rPr>
          <w:rFonts w:ascii="Times New Roman" w:hAnsi="Times New Roman" w:cs="Times New Roman"/>
          <w:sz w:val="24"/>
          <w:szCs w:val="24"/>
        </w:rPr>
        <w:t>s</w:t>
      </w:r>
      <w:r w:rsidR="00EB413D">
        <w:rPr>
          <w:rFonts w:ascii="Times New Roman" w:hAnsi="Times New Roman" w:cs="Times New Roman"/>
          <w:sz w:val="24"/>
          <w:szCs w:val="24"/>
        </w:rPr>
        <w:t xml:space="preserve"> in a single year. R</w:t>
      </w:r>
      <w:r w:rsidR="003314E3">
        <w:rPr>
          <w:rFonts w:ascii="Times New Roman" w:hAnsi="Times New Roman" w:cs="Times New Roman"/>
          <w:sz w:val="24"/>
          <w:szCs w:val="24"/>
        </w:rPr>
        <w:t>ather</w:t>
      </w:r>
      <w:r w:rsidR="00031B7D">
        <w:rPr>
          <w:rFonts w:ascii="Times New Roman" w:hAnsi="Times New Roman" w:cs="Times New Roman"/>
          <w:sz w:val="24"/>
          <w:szCs w:val="24"/>
        </w:rPr>
        <w:t>,</w:t>
      </w:r>
      <w:r w:rsidR="00297B1D">
        <w:rPr>
          <w:rFonts w:ascii="Times New Roman" w:hAnsi="Times New Roman" w:cs="Times New Roman"/>
          <w:sz w:val="24"/>
          <w:szCs w:val="24"/>
        </w:rPr>
        <w:t xml:space="preserve"> they are</w:t>
      </w:r>
      <w:r w:rsidR="003314E3">
        <w:rPr>
          <w:rFonts w:ascii="Times New Roman" w:hAnsi="Times New Roman" w:cs="Times New Roman"/>
          <w:sz w:val="24"/>
          <w:szCs w:val="24"/>
        </w:rPr>
        <w:t xml:space="preserve"> allowed to</w:t>
      </w:r>
      <w:r w:rsidR="009338FF">
        <w:rPr>
          <w:rFonts w:ascii="Times New Roman" w:hAnsi="Times New Roman" w:cs="Times New Roman"/>
          <w:sz w:val="24"/>
          <w:szCs w:val="24"/>
        </w:rPr>
        <w:t xml:space="preserve"> </w:t>
      </w:r>
      <w:r w:rsidR="00031B7D">
        <w:rPr>
          <w:rFonts w:ascii="Times New Roman" w:hAnsi="Times New Roman" w:cs="Times New Roman"/>
          <w:sz w:val="24"/>
          <w:szCs w:val="24"/>
        </w:rPr>
        <w:t xml:space="preserve">finance </w:t>
      </w:r>
      <w:r w:rsidR="003314E3">
        <w:rPr>
          <w:rFonts w:ascii="Times New Roman" w:hAnsi="Times New Roman" w:cs="Times New Roman"/>
          <w:sz w:val="24"/>
          <w:szCs w:val="24"/>
        </w:rPr>
        <w:t xml:space="preserve">the </w:t>
      </w:r>
      <w:r w:rsidR="00031B7D">
        <w:rPr>
          <w:rFonts w:ascii="Times New Roman" w:hAnsi="Times New Roman" w:cs="Times New Roman"/>
          <w:sz w:val="24"/>
          <w:szCs w:val="24"/>
        </w:rPr>
        <w:t xml:space="preserve">unfunded </w:t>
      </w:r>
      <w:r w:rsidR="003314E3">
        <w:rPr>
          <w:rFonts w:ascii="Times New Roman" w:hAnsi="Times New Roman" w:cs="Times New Roman"/>
          <w:sz w:val="24"/>
          <w:szCs w:val="24"/>
        </w:rPr>
        <w:t xml:space="preserve">liability </w:t>
      </w:r>
      <w:r w:rsidR="009338FF">
        <w:rPr>
          <w:rFonts w:ascii="Times New Roman" w:hAnsi="Times New Roman" w:cs="Times New Roman"/>
          <w:sz w:val="24"/>
          <w:szCs w:val="24"/>
        </w:rPr>
        <w:t>over a period of time (</w:t>
      </w:r>
      <w:r w:rsidR="00EB413D">
        <w:rPr>
          <w:rFonts w:ascii="Times New Roman" w:hAnsi="Times New Roman" w:cs="Times New Roman"/>
          <w:sz w:val="24"/>
          <w:szCs w:val="24"/>
        </w:rPr>
        <w:t>an</w:t>
      </w:r>
      <w:r w:rsidR="00DE6F77">
        <w:rPr>
          <w:rFonts w:ascii="Times New Roman" w:hAnsi="Times New Roman" w:cs="Times New Roman"/>
          <w:sz w:val="24"/>
          <w:szCs w:val="24"/>
        </w:rPr>
        <w:t xml:space="preserve"> </w:t>
      </w:r>
      <w:r w:rsidR="009338FF">
        <w:rPr>
          <w:rFonts w:ascii="Times New Roman" w:hAnsi="Times New Roman" w:cs="Times New Roman"/>
          <w:sz w:val="24"/>
          <w:szCs w:val="24"/>
        </w:rPr>
        <w:t>amortization period).</w:t>
      </w:r>
      <w:r w:rsidR="00EB413D">
        <w:rPr>
          <w:rFonts w:ascii="Times New Roman" w:hAnsi="Times New Roman" w:cs="Times New Roman"/>
          <w:sz w:val="24"/>
          <w:szCs w:val="24"/>
        </w:rPr>
        <w:t xml:space="preserve"> Th</w:t>
      </w:r>
      <w:r w:rsidR="00CC448E">
        <w:rPr>
          <w:rFonts w:ascii="Times New Roman" w:hAnsi="Times New Roman" w:cs="Times New Roman"/>
          <w:sz w:val="24"/>
          <w:szCs w:val="24"/>
        </w:rPr>
        <w:t>e</w:t>
      </w:r>
      <w:r w:rsidR="00EB413D">
        <w:rPr>
          <w:rFonts w:ascii="Times New Roman" w:hAnsi="Times New Roman" w:cs="Times New Roman"/>
          <w:sz w:val="24"/>
          <w:szCs w:val="24"/>
        </w:rPr>
        <w:t xml:space="preserve"> amortized UAAL </w:t>
      </w:r>
      <w:r w:rsidR="0000355F">
        <w:rPr>
          <w:rFonts w:ascii="Times New Roman" w:hAnsi="Times New Roman" w:cs="Times New Roman"/>
          <w:sz w:val="24"/>
          <w:szCs w:val="24"/>
        </w:rPr>
        <w:t>is</w:t>
      </w:r>
      <w:r w:rsidR="00EB413D">
        <w:rPr>
          <w:rFonts w:ascii="Times New Roman" w:hAnsi="Times New Roman" w:cs="Times New Roman"/>
          <w:sz w:val="24"/>
          <w:szCs w:val="24"/>
        </w:rPr>
        <w:t xml:space="preserve"> </w:t>
      </w:r>
      <w:r w:rsidR="00A846A2">
        <w:rPr>
          <w:rFonts w:ascii="Times New Roman" w:hAnsi="Times New Roman" w:cs="Times New Roman"/>
          <w:sz w:val="24"/>
          <w:szCs w:val="24"/>
        </w:rPr>
        <w:t xml:space="preserve">the second portion of </w:t>
      </w:r>
      <w:r>
        <w:rPr>
          <w:rFonts w:ascii="Times New Roman" w:hAnsi="Times New Roman" w:cs="Times New Roman"/>
          <w:sz w:val="24"/>
          <w:szCs w:val="24"/>
        </w:rPr>
        <w:t>sponsors’</w:t>
      </w:r>
      <w:r w:rsidR="00A846A2">
        <w:rPr>
          <w:rFonts w:ascii="Times New Roman" w:hAnsi="Times New Roman" w:cs="Times New Roman"/>
          <w:sz w:val="24"/>
          <w:szCs w:val="24"/>
        </w:rPr>
        <w:t xml:space="preserve"> contribution requirement</w:t>
      </w:r>
      <w:r w:rsidR="00EB413D">
        <w:rPr>
          <w:rFonts w:ascii="Times New Roman" w:hAnsi="Times New Roman" w:cs="Times New Roman"/>
          <w:sz w:val="24"/>
          <w:szCs w:val="24"/>
        </w:rPr>
        <w:t>.</w:t>
      </w:r>
      <w:r w:rsidR="009338FF">
        <w:rPr>
          <w:rFonts w:ascii="Times New Roman" w:hAnsi="Times New Roman" w:cs="Times New Roman"/>
          <w:sz w:val="24"/>
          <w:szCs w:val="24"/>
        </w:rPr>
        <w:t xml:space="preserve"> </w:t>
      </w:r>
    </w:p>
    <w:p w14:paraId="689C00EB" w14:textId="404E2DF8" w:rsidR="00B22866" w:rsidRDefault="00CC448E" w:rsidP="00663DD8">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B22866">
        <w:rPr>
          <w:rFonts w:ascii="Times New Roman" w:hAnsi="Times New Roman" w:cs="Times New Roman"/>
          <w:sz w:val="24"/>
          <w:szCs w:val="24"/>
        </w:rPr>
        <w:t>T</w:t>
      </w:r>
      <w:r w:rsidR="009338FF">
        <w:rPr>
          <w:rFonts w:ascii="Times New Roman" w:hAnsi="Times New Roman" w:cs="Times New Roman"/>
          <w:sz w:val="24"/>
          <w:szCs w:val="24"/>
        </w:rPr>
        <w:t>he combination of the normal cost and the amortized UAAL</w:t>
      </w:r>
      <w:r w:rsidR="00A846A2">
        <w:rPr>
          <w:rFonts w:ascii="Times New Roman" w:hAnsi="Times New Roman" w:cs="Times New Roman"/>
          <w:sz w:val="24"/>
          <w:szCs w:val="24"/>
        </w:rPr>
        <w:t xml:space="preserve"> is usually</w:t>
      </w:r>
      <w:r w:rsidR="00B22866">
        <w:rPr>
          <w:rFonts w:ascii="Times New Roman" w:hAnsi="Times New Roman" w:cs="Times New Roman"/>
          <w:sz w:val="24"/>
          <w:szCs w:val="24"/>
        </w:rPr>
        <w:t xml:space="preserve"> referred to as the annual required contribution or ARC</w:t>
      </w:r>
      <w:r w:rsidR="00EB413D">
        <w:rPr>
          <w:rFonts w:ascii="Times New Roman" w:hAnsi="Times New Roman" w:cs="Times New Roman"/>
          <w:sz w:val="24"/>
          <w:szCs w:val="24"/>
        </w:rPr>
        <w:t xml:space="preserve">. </w:t>
      </w:r>
      <w:r w:rsidR="00A846A2">
        <w:rPr>
          <w:rFonts w:ascii="Times New Roman" w:hAnsi="Times New Roman" w:cs="Times New Roman"/>
          <w:sz w:val="24"/>
          <w:szCs w:val="24"/>
        </w:rPr>
        <w:t xml:space="preserve">It is often expressed in terms of its percent of covered </w:t>
      </w:r>
      <w:r w:rsidR="00DD77E6">
        <w:rPr>
          <w:rFonts w:ascii="Times New Roman" w:hAnsi="Times New Roman" w:cs="Times New Roman"/>
          <w:sz w:val="24"/>
          <w:szCs w:val="24"/>
        </w:rPr>
        <w:t xml:space="preserve">employees’ </w:t>
      </w:r>
      <w:r w:rsidR="00A846A2">
        <w:rPr>
          <w:rFonts w:ascii="Times New Roman" w:hAnsi="Times New Roman" w:cs="Times New Roman"/>
          <w:sz w:val="24"/>
          <w:szCs w:val="24"/>
        </w:rPr>
        <w:t xml:space="preserve">payroll. </w:t>
      </w:r>
      <w:r w:rsidR="00EB413D">
        <w:rPr>
          <w:rFonts w:ascii="Times New Roman" w:hAnsi="Times New Roman" w:cs="Times New Roman"/>
          <w:sz w:val="24"/>
          <w:szCs w:val="24"/>
        </w:rPr>
        <w:t xml:space="preserve">New accounting standards refer to </w:t>
      </w:r>
      <w:r w:rsidR="00A846A2">
        <w:rPr>
          <w:rFonts w:ascii="Times New Roman" w:hAnsi="Times New Roman" w:cs="Times New Roman"/>
          <w:sz w:val="24"/>
          <w:szCs w:val="24"/>
        </w:rPr>
        <w:t>this calculation</w:t>
      </w:r>
      <w:r w:rsidR="00EB413D">
        <w:rPr>
          <w:rFonts w:ascii="Times New Roman" w:hAnsi="Times New Roman" w:cs="Times New Roman"/>
          <w:sz w:val="24"/>
          <w:szCs w:val="24"/>
        </w:rPr>
        <w:t xml:space="preserve"> as the actuarially determined contribution</w:t>
      </w:r>
      <w:r w:rsidR="00A55BD3">
        <w:rPr>
          <w:rFonts w:ascii="Times New Roman" w:hAnsi="Times New Roman" w:cs="Times New Roman"/>
          <w:sz w:val="24"/>
          <w:szCs w:val="24"/>
        </w:rPr>
        <w:t xml:space="preserve"> (GASB 2012)</w:t>
      </w:r>
      <w:r w:rsidR="00EB413D">
        <w:rPr>
          <w:rFonts w:ascii="Times New Roman" w:hAnsi="Times New Roman" w:cs="Times New Roman"/>
          <w:sz w:val="24"/>
          <w:szCs w:val="24"/>
        </w:rPr>
        <w:t xml:space="preserve">, though we </w:t>
      </w:r>
      <w:r w:rsidR="00DD77E6">
        <w:rPr>
          <w:rFonts w:ascii="Times New Roman" w:hAnsi="Times New Roman" w:cs="Times New Roman"/>
          <w:sz w:val="24"/>
          <w:szCs w:val="24"/>
        </w:rPr>
        <w:t>retain</w:t>
      </w:r>
      <w:r w:rsidR="00EB413D">
        <w:rPr>
          <w:rFonts w:ascii="Times New Roman" w:hAnsi="Times New Roman" w:cs="Times New Roman"/>
          <w:sz w:val="24"/>
          <w:szCs w:val="24"/>
        </w:rPr>
        <w:t xml:space="preserve"> the common ARC terminology in this paper</w:t>
      </w:r>
      <w:r w:rsidR="009338FF">
        <w:rPr>
          <w:rFonts w:ascii="Times New Roman" w:hAnsi="Times New Roman" w:cs="Times New Roman"/>
          <w:sz w:val="24"/>
          <w:szCs w:val="24"/>
        </w:rPr>
        <w:t xml:space="preserve">. </w:t>
      </w:r>
    </w:p>
    <w:p w14:paraId="7ADAC6F2" w14:textId="3CC06E72" w:rsidR="00920FC0" w:rsidRDefault="00B22866" w:rsidP="00663DD8">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A846A2">
        <w:rPr>
          <w:rFonts w:ascii="Times New Roman" w:hAnsi="Times New Roman" w:cs="Times New Roman"/>
          <w:sz w:val="24"/>
          <w:szCs w:val="24"/>
        </w:rPr>
        <w:t>T</w:t>
      </w:r>
      <w:r w:rsidR="00CC448E">
        <w:rPr>
          <w:rFonts w:ascii="Times New Roman" w:hAnsi="Times New Roman" w:cs="Times New Roman"/>
          <w:sz w:val="24"/>
          <w:szCs w:val="24"/>
        </w:rPr>
        <w:t xml:space="preserve">he </w:t>
      </w:r>
      <w:r w:rsidR="0010464D">
        <w:rPr>
          <w:rFonts w:ascii="Times New Roman" w:hAnsi="Times New Roman" w:cs="Times New Roman"/>
          <w:sz w:val="24"/>
          <w:szCs w:val="24"/>
        </w:rPr>
        <w:t xml:space="preserve">actuarial </w:t>
      </w:r>
      <w:r w:rsidR="00CC448E">
        <w:rPr>
          <w:rFonts w:ascii="Times New Roman" w:hAnsi="Times New Roman" w:cs="Times New Roman"/>
          <w:sz w:val="24"/>
          <w:szCs w:val="24"/>
        </w:rPr>
        <w:t>process assume</w:t>
      </w:r>
      <w:r w:rsidR="00A846A2">
        <w:rPr>
          <w:rFonts w:ascii="Times New Roman" w:hAnsi="Times New Roman" w:cs="Times New Roman"/>
          <w:sz w:val="24"/>
          <w:szCs w:val="24"/>
        </w:rPr>
        <w:t>s</w:t>
      </w:r>
      <w:r w:rsidR="00CC448E">
        <w:rPr>
          <w:rFonts w:ascii="Times New Roman" w:hAnsi="Times New Roman" w:cs="Times New Roman"/>
          <w:sz w:val="24"/>
          <w:szCs w:val="24"/>
        </w:rPr>
        <w:t xml:space="preserve"> that </w:t>
      </w:r>
      <w:r w:rsidR="00476908">
        <w:rPr>
          <w:rFonts w:ascii="Times New Roman" w:hAnsi="Times New Roman" w:cs="Times New Roman"/>
          <w:sz w:val="24"/>
          <w:szCs w:val="24"/>
        </w:rPr>
        <w:t xml:space="preserve">conditions will change and assumptions will need to be revised. </w:t>
      </w:r>
      <w:r w:rsidR="0005446E">
        <w:rPr>
          <w:rFonts w:ascii="Times New Roman" w:hAnsi="Times New Roman" w:cs="Times New Roman"/>
          <w:sz w:val="24"/>
          <w:szCs w:val="24"/>
        </w:rPr>
        <w:t>A</w:t>
      </w:r>
      <w:r w:rsidR="0019043E" w:rsidRPr="0019043E">
        <w:rPr>
          <w:rFonts w:ascii="Times New Roman" w:hAnsi="Times New Roman" w:cs="Times New Roman"/>
          <w:sz w:val="24"/>
          <w:szCs w:val="24"/>
        </w:rPr>
        <w:t>ctuaries</w:t>
      </w:r>
      <w:r w:rsidR="00A846A2">
        <w:rPr>
          <w:rFonts w:ascii="Times New Roman" w:hAnsi="Times New Roman" w:cs="Times New Roman"/>
          <w:sz w:val="24"/>
          <w:szCs w:val="24"/>
        </w:rPr>
        <w:t>, therefore,</w:t>
      </w:r>
      <w:r w:rsidR="0019043E" w:rsidRPr="0019043E">
        <w:rPr>
          <w:rFonts w:ascii="Times New Roman" w:hAnsi="Times New Roman" w:cs="Times New Roman"/>
          <w:sz w:val="24"/>
          <w:szCs w:val="24"/>
        </w:rPr>
        <w:t xml:space="preserve"> </w:t>
      </w:r>
      <w:r w:rsidR="0005446E">
        <w:rPr>
          <w:rFonts w:ascii="Times New Roman" w:hAnsi="Times New Roman" w:cs="Times New Roman"/>
          <w:sz w:val="24"/>
          <w:szCs w:val="24"/>
        </w:rPr>
        <w:t>conduct</w:t>
      </w:r>
      <w:r w:rsidR="0005446E" w:rsidRPr="0019043E">
        <w:rPr>
          <w:rFonts w:ascii="Times New Roman" w:hAnsi="Times New Roman" w:cs="Times New Roman"/>
          <w:sz w:val="24"/>
          <w:szCs w:val="24"/>
        </w:rPr>
        <w:t xml:space="preserve"> </w:t>
      </w:r>
      <w:r w:rsidR="0019043E">
        <w:rPr>
          <w:rFonts w:ascii="Times New Roman" w:hAnsi="Times New Roman" w:cs="Times New Roman"/>
          <w:sz w:val="24"/>
          <w:szCs w:val="24"/>
        </w:rPr>
        <w:t xml:space="preserve">periodic </w:t>
      </w:r>
      <w:r w:rsidR="00A846A2">
        <w:rPr>
          <w:rFonts w:ascii="Times New Roman" w:hAnsi="Times New Roman" w:cs="Times New Roman"/>
          <w:sz w:val="24"/>
          <w:szCs w:val="24"/>
        </w:rPr>
        <w:t xml:space="preserve">reviews of plan </w:t>
      </w:r>
      <w:r w:rsidR="0005446E">
        <w:rPr>
          <w:rFonts w:ascii="Times New Roman" w:hAnsi="Times New Roman" w:cs="Times New Roman"/>
          <w:sz w:val="24"/>
          <w:szCs w:val="24"/>
        </w:rPr>
        <w:t>conditions</w:t>
      </w:r>
      <w:r w:rsidR="00CC448E">
        <w:rPr>
          <w:rFonts w:ascii="Times New Roman" w:hAnsi="Times New Roman" w:cs="Times New Roman"/>
          <w:sz w:val="24"/>
          <w:szCs w:val="24"/>
        </w:rPr>
        <w:t xml:space="preserve">, usually no less frequently than every </w:t>
      </w:r>
      <w:r w:rsidR="00CA5CE3">
        <w:rPr>
          <w:rFonts w:ascii="Times New Roman" w:hAnsi="Times New Roman" w:cs="Times New Roman"/>
          <w:sz w:val="24"/>
          <w:szCs w:val="24"/>
        </w:rPr>
        <w:t xml:space="preserve">five </w:t>
      </w:r>
      <w:r w:rsidR="00CC448E">
        <w:rPr>
          <w:rFonts w:ascii="Times New Roman" w:hAnsi="Times New Roman" w:cs="Times New Roman"/>
          <w:sz w:val="24"/>
          <w:szCs w:val="24"/>
        </w:rPr>
        <w:t>years,</w:t>
      </w:r>
      <w:r w:rsidR="0005446E">
        <w:rPr>
          <w:rFonts w:ascii="Times New Roman" w:hAnsi="Times New Roman" w:cs="Times New Roman"/>
          <w:sz w:val="24"/>
          <w:szCs w:val="24"/>
        </w:rPr>
        <w:t xml:space="preserve"> and test whether </w:t>
      </w:r>
      <w:r w:rsidR="00DD77E6">
        <w:rPr>
          <w:rFonts w:ascii="Times New Roman" w:hAnsi="Times New Roman" w:cs="Times New Roman"/>
          <w:sz w:val="24"/>
          <w:szCs w:val="24"/>
        </w:rPr>
        <w:t xml:space="preserve">the </w:t>
      </w:r>
      <w:r w:rsidR="0010464D">
        <w:rPr>
          <w:rFonts w:ascii="Times New Roman" w:hAnsi="Times New Roman" w:cs="Times New Roman"/>
          <w:sz w:val="24"/>
          <w:szCs w:val="24"/>
        </w:rPr>
        <w:t xml:space="preserve">actuarial assumptions are consistent with </w:t>
      </w:r>
      <w:r w:rsidR="0005446E">
        <w:rPr>
          <w:rFonts w:ascii="Times New Roman" w:hAnsi="Times New Roman" w:cs="Times New Roman"/>
          <w:sz w:val="24"/>
          <w:szCs w:val="24"/>
        </w:rPr>
        <w:t xml:space="preserve">actual </w:t>
      </w:r>
      <w:r w:rsidR="00751DA7">
        <w:rPr>
          <w:rFonts w:ascii="Times New Roman" w:hAnsi="Times New Roman" w:cs="Times New Roman"/>
          <w:sz w:val="24"/>
          <w:szCs w:val="24"/>
        </w:rPr>
        <w:t>experience</w:t>
      </w:r>
      <w:r w:rsidR="003C70BB">
        <w:rPr>
          <w:rFonts w:ascii="Times New Roman" w:hAnsi="Times New Roman" w:cs="Times New Roman"/>
          <w:sz w:val="24"/>
          <w:szCs w:val="24"/>
        </w:rPr>
        <w:t xml:space="preserve"> (</w:t>
      </w:r>
      <w:r w:rsidR="00CA5CE3">
        <w:rPr>
          <w:rFonts w:ascii="Times New Roman" w:hAnsi="Times New Roman" w:cs="Times New Roman"/>
          <w:sz w:val="24"/>
          <w:szCs w:val="24"/>
        </w:rPr>
        <w:t>GFOA 2009; Peng 2008</w:t>
      </w:r>
      <w:r w:rsidR="003C70BB">
        <w:rPr>
          <w:rFonts w:ascii="Times New Roman" w:hAnsi="Times New Roman" w:cs="Times New Roman"/>
          <w:sz w:val="24"/>
          <w:szCs w:val="24"/>
        </w:rPr>
        <w:t>)</w:t>
      </w:r>
      <w:r w:rsidR="0000355F">
        <w:rPr>
          <w:rFonts w:ascii="Times New Roman" w:hAnsi="Times New Roman" w:cs="Times New Roman"/>
          <w:sz w:val="24"/>
          <w:szCs w:val="24"/>
        </w:rPr>
        <w:t>.</w:t>
      </w:r>
      <w:r w:rsidR="0005446E">
        <w:rPr>
          <w:rFonts w:ascii="Times New Roman" w:hAnsi="Times New Roman" w:cs="Times New Roman"/>
          <w:sz w:val="24"/>
          <w:szCs w:val="24"/>
        </w:rPr>
        <w:t xml:space="preserve"> </w:t>
      </w:r>
      <w:r w:rsidR="0019043E">
        <w:rPr>
          <w:rFonts w:ascii="Times New Roman" w:hAnsi="Times New Roman" w:cs="Times New Roman"/>
          <w:sz w:val="24"/>
          <w:szCs w:val="24"/>
        </w:rPr>
        <w:t xml:space="preserve">Actuaries </w:t>
      </w:r>
      <w:r w:rsidR="0010464D">
        <w:rPr>
          <w:rFonts w:ascii="Times New Roman" w:hAnsi="Times New Roman" w:cs="Times New Roman"/>
          <w:sz w:val="24"/>
          <w:szCs w:val="24"/>
        </w:rPr>
        <w:t xml:space="preserve">regularly </w:t>
      </w:r>
      <w:r w:rsidR="0019043E">
        <w:rPr>
          <w:rFonts w:ascii="Times New Roman" w:hAnsi="Times New Roman" w:cs="Times New Roman"/>
          <w:sz w:val="24"/>
          <w:szCs w:val="24"/>
        </w:rPr>
        <w:t xml:space="preserve">suggest </w:t>
      </w:r>
      <w:r w:rsidR="0005446E">
        <w:rPr>
          <w:rFonts w:ascii="Times New Roman" w:hAnsi="Times New Roman" w:cs="Times New Roman"/>
          <w:sz w:val="24"/>
          <w:szCs w:val="24"/>
        </w:rPr>
        <w:t xml:space="preserve">changes to actuarial </w:t>
      </w:r>
      <w:r w:rsidR="00CC448E">
        <w:rPr>
          <w:rFonts w:ascii="Times New Roman" w:hAnsi="Times New Roman" w:cs="Times New Roman"/>
          <w:sz w:val="24"/>
          <w:szCs w:val="24"/>
        </w:rPr>
        <w:t>inputs</w:t>
      </w:r>
      <w:r w:rsidR="0005446E">
        <w:rPr>
          <w:rFonts w:ascii="Times New Roman" w:hAnsi="Times New Roman" w:cs="Times New Roman"/>
          <w:sz w:val="24"/>
          <w:szCs w:val="24"/>
        </w:rPr>
        <w:t xml:space="preserve"> </w:t>
      </w:r>
      <w:r w:rsidR="0019043E">
        <w:rPr>
          <w:rFonts w:ascii="Times New Roman" w:hAnsi="Times New Roman" w:cs="Times New Roman"/>
          <w:sz w:val="24"/>
          <w:szCs w:val="24"/>
        </w:rPr>
        <w:t xml:space="preserve">based on </w:t>
      </w:r>
      <w:r w:rsidR="00EA1B2B">
        <w:rPr>
          <w:rFonts w:ascii="Times New Roman" w:hAnsi="Times New Roman" w:cs="Times New Roman"/>
          <w:sz w:val="24"/>
          <w:szCs w:val="24"/>
        </w:rPr>
        <w:t xml:space="preserve">(1) </w:t>
      </w:r>
      <w:r w:rsidR="00A846A2">
        <w:rPr>
          <w:rFonts w:ascii="Times New Roman" w:hAnsi="Times New Roman" w:cs="Times New Roman"/>
          <w:sz w:val="24"/>
          <w:szCs w:val="24"/>
        </w:rPr>
        <w:t>whether</w:t>
      </w:r>
      <w:r w:rsidR="00BD3023">
        <w:rPr>
          <w:rFonts w:ascii="Times New Roman" w:hAnsi="Times New Roman" w:cs="Times New Roman"/>
          <w:sz w:val="24"/>
          <w:szCs w:val="24"/>
        </w:rPr>
        <w:t xml:space="preserve"> actual conditions deviate from actuarial assumptions, </w:t>
      </w:r>
      <w:r w:rsidR="00EA1B2B">
        <w:rPr>
          <w:rFonts w:ascii="Times New Roman" w:hAnsi="Times New Roman" w:cs="Times New Roman"/>
          <w:sz w:val="24"/>
          <w:szCs w:val="24"/>
        </w:rPr>
        <w:t xml:space="preserve">(2) </w:t>
      </w:r>
      <w:r w:rsidR="00A846A2">
        <w:rPr>
          <w:rFonts w:ascii="Times New Roman" w:hAnsi="Times New Roman" w:cs="Times New Roman"/>
          <w:sz w:val="24"/>
          <w:szCs w:val="24"/>
        </w:rPr>
        <w:t>changes in</w:t>
      </w:r>
      <w:r w:rsidR="0005446E">
        <w:rPr>
          <w:rFonts w:ascii="Times New Roman" w:hAnsi="Times New Roman" w:cs="Times New Roman"/>
          <w:sz w:val="24"/>
          <w:szCs w:val="24"/>
        </w:rPr>
        <w:t xml:space="preserve"> </w:t>
      </w:r>
      <w:r w:rsidR="0019043E">
        <w:rPr>
          <w:rFonts w:ascii="Times New Roman" w:hAnsi="Times New Roman" w:cs="Times New Roman"/>
          <w:sz w:val="24"/>
          <w:szCs w:val="24"/>
        </w:rPr>
        <w:t>professional standards</w:t>
      </w:r>
      <w:r w:rsidR="0005446E">
        <w:rPr>
          <w:rFonts w:ascii="Times New Roman" w:hAnsi="Times New Roman" w:cs="Times New Roman"/>
          <w:sz w:val="24"/>
          <w:szCs w:val="24"/>
        </w:rPr>
        <w:t xml:space="preserve"> (e.</w:t>
      </w:r>
      <w:r w:rsidR="00BD3023">
        <w:rPr>
          <w:rFonts w:ascii="Times New Roman" w:hAnsi="Times New Roman" w:cs="Times New Roman"/>
          <w:sz w:val="24"/>
          <w:szCs w:val="24"/>
        </w:rPr>
        <w:t>g.</w:t>
      </w:r>
      <w:r w:rsidR="0005446E">
        <w:rPr>
          <w:rFonts w:ascii="Times New Roman" w:hAnsi="Times New Roman" w:cs="Times New Roman"/>
          <w:sz w:val="24"/>
          <w:szCs w:val="24"/>
        </w:rPr>
        <w:t>, revised mortality tables)</w:t>
      </w:r>
      <w:r w:rsidR="0019043E">
        <w:rPr>
          <w:rFonts w:ascii="Times New Roman" w:hAnsi="Times New Roman" w:cs="Times New Roman"/>
          <w:sz w:val="24"/>
          <w:szCs w:val="24"/>
        </w:rPr>
        <w:t xml:space="preserve">, </w:t>
      </w:r>
      <w:r w:rsidR="00B92F31">
        <w:rPr>
          <w:rFonts w:ascii="Times New Roman" w:hAnsi="Times New Roman" w:cs="Times New Roman"/>
          <w:sz w:val="24"/>
          <w:szCs w:val="24"/>
        </w:rPr>
        <w:t xml:space="preserve">and </w:t>
      </w:r>
      <w:r w:rsidR="00EA1B2B">
        <w:rPr>
          <w:rFonts w:ascii="Times New Roman" w:hAnsi="Times New Roman" w:cs="Times New Roman"/>
          <w:sz w:val="24"/>
          <w:szCs w:val="24"/>
        </w:rPr>
        <w:t xml:space="preserve">(3) </w:t>
      </w:r>
      <w:r w:rsidR="00DD77E6">
        <w:rPr>
          <w:rFonts w:ascii="Times New Roman" w:hAnsi="Times New Roman" w:cs="Times New Roman"/>
          <w:sz w:val="24"/>
          <w:szCs w:val="24"/>
        </w:rPr>
        <w:t>changes</w:t>
      </w:r>
      <w:r w:rsidR="0005446E">
        <w:rPr>
          <w:rFonts w:ascii="Times New Roman" w:hAnsi="Times New Roman" w:cs="Times New Roman"/>
          <w:sz w:val="24"/>
          <w:szCs w:val="24"/>
        </w:rPr>
        <w:t xml:space="preserve"> </w:t>
      </w:r>
      <w:r w:rsidR="00A846A2">
        <w:rPr>
          <w:rFonts w:ascii="Times New Roman" w:hAnsi="Times New Roman" w:cs="Times New Roman"/>
          <w:sz w:val="24"/>
          <w:szCs w:val="24"/>
        </w:rPr>
        <w:t xml:space="preserve">in </w:t>
      </w:r>
      <w:r w:rsidR="00DE6F77">
        <w:rPr>
          <w:rFonts w:ascii="Times New Roman" w:hAnsi="Times New Roman" w:cs="Times New Roman"/>
          <w:sz w:val="24"/>
          <w:szCs w:val="24"/>
        </w:rPr>
        <w:t>government</w:t>
      </w:r>
      <w:r w:rsidR="0005446E">
        <w:rPr>
          <w:rFonts w:ascii="Times New Roman" w:hAnsi="Times New Roman" w:cs="Times New Roman"/>
          <w:sz w:val="24"/>
          <w:szCs w:val="24"/>
        </w:rPr>
        <w:t>al</w:t>
      </w:r>
      <w:r w:rsidR="00DE6F77">
        <w:rPr>
          <w:rFonts w:ascii="Times New Roman" w:hAnsi="Times New Roman" w:cs="Times New Roman"/>
          <w:sz w:val="24"/>
          <w:szCs w:val="24"/>
        </w:rPr>
        <w:t xml:space="preserve"> accounting standards</w:t>
      </w:r>
      <w:r w:rsidR="0019043E">
        <w:rPr>
          <w:rFonts w:ascii="Times New Roman" w:hAnsi="Times New Roman" w:cs="Times New Roman"/>
          <w:sz w:val="24"/>
          <w:szCs w:val="24"/>
        </w:rPr>
        <w:t>.</w:t>
      </w:r>
      <w:r w:rsidR="00751DA7">
        <w:rPr>
          <w:rFonts w:ascii="Times New Roman" w:hAnsi="Times New Roman" w:cs="Times New Roman"/>
          <w:sz w:val="24"/>
          <w:szCs w:val="24"/>
        </w:rPr>
        <w:t xml:space="preserve"> </w:t>
      </w:r>
      <w:r w:rsidR="0005446E">
        <w:rPr>
          <w:rFonts w:ascii="Times New Roman" w:hAnsi="Times New Roman" w:cs="Times New Roman"/>
          <w:sz w:val="24"/>
          <w:szCs w:val="24"/>
        </w:rPr>
        <w:t>A</w:t>
      </w:r>
      <w:r w:rsidR="00751DA7">
        <w:rPr>
          <w:rFonts w:ascii="Times New Roman" w:hAnsi="Times New Roman" w:cs="Times New Roman"/>
          <w:sz w:val="24"/>
          <w:szCs w:val="24"/>
        </w:rPr>
        <w:t>ctuaries</w:t>
      </w:r>
      <w:r w:rsidR="00DE6F77">
        <w:rPr>
          <w:rFonts w:ascii="Times New Roman" w:hAnsi="Times New Roman" w:cs="Times New Roman"/>
          <w:sz w:val="24"/>
          <w:szCs w:val="24"/>
        </w:rPr>
        <w:t xml:space="preserve"> </w:t>
      </w:r>
      <w:r w:rsidR="00A846A2">
        <w:rPr>
          <w:rFonts w:ascii="Times New Roman" w:hAnsi="Times New Roman" w:cs="Times New Roman"/>
          <w:sz w:val="24"/>
          <w:szCs w:val="24"/>
        </w:rPr>
        <w:t>may suggest revisions</w:t>
      </w:r>
      <w:r w:rsidR="00751DA7">
        <w:rPr>
          <w:rFonts w:ascii="Times New Roman" w:hAnsi="Times New Roman" w:cs="Times New Roman"/>
          <w:sz w:val="24"/>
          <w:szCs w:val="24"/>
        </w:rPr>
        <w:t xml:space="preserve">, </w:t>
      </w:r>
      <w:r w:rsidR="00DE6F77">
        <w:rPr>
          <w:rFonts w:ascii="Times New Roman" w:hAnsi="Times New Roman" w:cs="Times New Roman"/>
          <w:sz w:val="24"/>
          <w:szCs w:val="24"/>
        </w:rPr>
        <w:t xml:space="preserve">but </w:t>
      </w:r>
      <w:r w:rsidR="0019043E">
        <w:rPr>
          <w:rFonts w:ascii="Times New Roman" w:hAnsi="Times New Roman" w:cs="Times New Roman"/>
          <w:sz w:val="24"/>
          <w:szCs w:val="24"/>
        </w:rPr>
        <w:t>b</w:t>
      </w:r>
      <w:r w:rsidR="00B92F31">
        <w:rPr>
          <w:rFonts w:ascii="Times New Roman" w:hAnsi="Times New Roman" w:cs="Times New Roman"/>
          <w:sz w:val="24"/>
          <w:szCs w:val="24"/>
        </w:rPr>
        <w:t>oard</w:t>
      </w:r>
      <w:r w:rsidR="00CC448E">
        <w:rPr>
          <w:rFonts w:ascii="Times New Roman" w:hAnsi="Times New Roman" w:cs="Times New Roman"/>
          <w:sz w:val="24"/>
          <w:szCs w:val="24"/>
        </w:rPr>
        <w:t>s of trustees and sponsor</w:t>
      </w:r>
      <w:r w:rsidR="00BD3023">
        <w:rPr>
          <w:rFonts w:ascii="Times New Roman" w:hAnsi="Times New Roman" w:cs="Times New Roman"/>
          <w:sz w:val="24"/>
          <w:szCs w:val="24"/>
        </w:rPr>
        <w:t>ing government</w:t>
      </w:r>
      <w:r w:rsidR="00B92F31">
        <w:rPr>
          <w:rFonts w:ascii="Times New Roman" w:hAnsi="Times New Roman" w:cs="Times New Roman"/>
          <w:sz w:val="24"/>
          <w:szCs w:val="24"/>
        </w:rPr>
        <w:t>s</w:t>
      </w:r>
      <w:r w:rsidR="00CC448E">
        <w:rPr>
          <w:rFonts w:ascii="Times New Roman" w:hAnsi="Times New Roman" w:cs="Times New Roman"/>
          <w:sz w:val="24"/>
          <w:szCs w:val="24"/>
        </w:rPr>
        <w:t>’ governing bodies are</w:t>
      </w:r>
      <w:r w:rsidR="00B92F31">
        <w:rPr>
          <w:rFonts w:ascii="Times New Roman" w:hAnsi="Times New Roman" w:cs="Times New Roman"/>
          <w:sz w:val="24"/>
          <w:szCs w:val="24"/>
        </w:rPr>
        <w:t xml:space="preserve"> </w:t>
      </w:r>
      <w:r w:rsidR="00DE6F77">
        <w:rPr>
          <w:rFonts w:ascii="Times New Roman" w:hAnsi="Times New Roman" w:cs="Times New Roman"/>
          <w:sz w:val="24"/>
          <w:szCs w:val="24"/>
        </w:rPr>
        <w:t>responsib</w:t>
      </w:r>
      <w:r w:rsidR="00CC448E">
        <w:rPr>
          <w:rFonts w:ascii="Times New Roman" w:hAnsi="Times New Roman" w:cs="Times New Roman"/>
          <w:sz w:val="24"/>
          <w:szCs w:val="24"/>
        </w:rPr>
        <w:t xml:space="preserve">le </w:t>
      </w:r>
      <w:r w:rsidR="00751DA7">
        <w:rPr>
          <w:rFonts w:ascii="Times New Roman" w:hAnsi="Times New Roman" w:cs="Times New Roman"/>
          <w:sz w:val="24"/>
          <w:szCs w:val="24"/>
        </w:rPr>
        <w:t>to review</w:t>
      </w:r>
      <w:r w:rsidR="0019043E">
        <w:rPr>
          <w:rFonts w:ascii="Times New Roman" w:hAnsi="Times New Roman" w:cs="Times New Roman"/>
          <w:sz w:val="24"/>
          <w:szCs w:val="24"/>
        </w:rPr>
        <w:t xml:space="preserve"> </w:t>
      </w:r>
      <w:r w:rsidR="00DE6F77">
        <w:rPr>
          <w:rFonts w:ascii="Times New Roman" w:hAnsi="Times New Roman" w:cs="Times New Roman"/>
          <w:sz w:val="24"/>
          <w:szCs w:val="24"/>
        </w:rPr>
        <w:t xml:space="preserve">those </w:t>
      </w:r>
      <w:r w:rsidR="0019043E">
        <w:rPr>
          <w:rFonts w:ascii="Times New Roman" w:hAnsi="Times New Roman" w:cs="Times New Roman"/>
          <w:sz w:val="24"/>
          <w:szCs w:val="24"/>
        </w:rPr>
        <w:t>suggest</w:t>
      </w:r>
      <w:r w:rsidR="00DE6F77">
        <w:rPr>
          <w:rFonts w:ascii="Times New Roman" w:hAnsi="Times New Roman" w:cs="Times New Roman"/>
          <w:sz w:val="24"/>
          <w:szCs w:val="24"/>
        </w:rPr>
        <w:t xml:space="preserve">ions and determine whether to </w:t>
      </w:r>
      <w:r w:rsidR="0005446E">
        <w:rPr>
          <w:rFonts w:ascii="Times New Roman" w:hAnsi="Times New Roman" w:cs="Times New Roman"/>
          <w:sz w:val="24"/>
          <w:szCs w:val="24"/>
        </w:rPr>
        <w:t>revise</w:t>
      </w:r>
      <w:r w:rsidR="00DE6F77">
        <w:rPr>
          <w:rFonts w:ascii="Times New Roman" w:hAnsi="Times New Roman" w:cs="Times New Roman"/>
          <w:sz w:val="24"/>
          <w:szCs w:val="24"/>
        </w:rPr>
        <w:t xml:space="preserve"> </w:t>
      </w:r>
      <w:r w:rsidR="00BD3023">
        <w:rPr>
          <w:rFonts w:ascii="Times New Roman" w:hAnsi="Times New Roman" w:cs="Times New Roman"/>
          <w:sz w:val="24"/>
          <w:szCs w:val="24"/>
        </w:rPr>
        <w:t>actuarial inputs</w:t>
      </w:r>
      <w:r w:rsidR="0019043E">
        <w:rPr>
          <w:rFonts w:ascii="Times New Roman" w:hAnsi="Times New Roman" w:cs="Times New Roman"/>
          <w:sz w:val="24"/>
          <w:szCs w:val="24"/>
        </w:rPr>
        <w:t xml:space="preserve">. </w:t>
      </w:r>
    </w:p>
    <w:p w14:paraId="3BCAC9DF" w14:textId="70E4842B" w:rsidR="00C57AB1" w:rsidRPr="00BD702E" w:rsidRDefault="00BD702E" w:rsidP="00BD702E">
      <w:pPr>
        <w:spacing w:after="0" w:line="480" w:lineRule="auto"/>
        <w:contextualSpacing/>
        <w:rPr>
          <w:rFonts w:ascii="Times New Roman" w:hAnsi="Times New Roman" w:cs="Times New Roman"/>
          <w:sz w:val="28"/>
          <w:szCs w:val="24"/>
        </w:rPr>
      </w:pPr>
      <w:r>
        <w:rPr>
          <w:rFonts w:ascii="Times New Roman" w:hAnsi="Times New Roman" w:cs="Times New Roman"/>
          <w:sz w:val="28"/>
          <w:szCs w:val="24"/>
        </w:rPr>
        <w:t>Actuarial Inputs a</w:t>
      </w:r>
      <w:r w:rsidRPr="00BD702E">
        <w:rPr>
          <w:rFonts w:ascii="Times New Roman" w:hAnsi="Times New Roman" w:cs="Times New Roman"/>
          <w:sz w:val="28"/>
          <w:szCs w:val="24"/>
        </w:rPr>
        <w:t>nd Pension Policy</w:t>
      </w:r>
    </w:p>
    <w:p w14:paraId="6395BC0C" w14:textId="5E45B0B3" w:rsidR="00C57AB1" w:rsidRPr="003B102B" w:rsidRDefault="00C57AB1" w:rsidP="00C57AB1">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BD3023">
        <w:rPr>
          <w:rFonts w:ascii="Times New Roman" w:hAnsi="Times New Roman" w:cs="Times New Roman"/>
          <w:sz w:val="24"/>
          <w:szCs w:val="24"/>
        </w:rPr>
        <w:t>A</w:t>
      </w:r>
      <w:r w:rsidR="00FC7E99">
        <w:rPr>
          <w:rFonts w:ascii="Times New Roman" w:hAnsi="Times New Roman" w:cs="Times New Roman"/>
          <w:sz w:val="24"/>
          <w:szCs w:val="24"/>
        </w:rPr>
        <w:t xml:space="preserve">ctuarial practices </w:t>
      </w:r>
      <w:r w:rsidR="00BD3023">
        <w:rPr>
          <w:rFonts w:ascii="Times New Roman" w:hAnsi="Times New Roman" w:cs="Times New Roman"/>
          <w:sz w:val="24"/>
          <w:szCs w:val="24"/>
        </w:rPr>
        <w:t xml:space="preserve">in the public sector </w:t>
      </w:r>
      <w:r w:rsidR="00FC7E99">
        <w:rPr>
          <w:rFonts w:ascii="Times New Roman" w:hAnsi="Times New Roman" w:cs="Times New Roman"/>
          <w:sz w:val="24"/>
          <w:szCs w:val="24"/>
        </w:rPr>
        <w:t xml:space="preserve">have been highly criticized </w:t>
      </w:r>
      <w:r w:rsidR="00492788">
        <w:rPr>
          <w:rFonts w:ascii="Times New Roman" w:hAnsi="Times New Roman" w:cs="Times New Roman"/>
          <w:sz w:val="24"/>
          <w:szCs w:val="24"/>
        </w:rPr>
        <w:t xml:space="preserve">over the past century. In the early 1900s, most pension plans </w:t>
      </w:r>
      <w:r w:rsidR="002E18CD">
        <w:rPr>
          <w:rFonts w:ascii="Times New Roman" w:hAnsi="Times New Roman" w:cs="Times New Roman"/>
          <w:sz w:val="24"/>
          <w:szCs w:val="24"/>
        </w:rPr>
        <w:t xml:space="preserve">did not use an actuarial process to fund their pension obligations. </w:t>
      </w:r>
      <w:r w:rsidR="00BD3023">
        <w:rPr>
          <w:rFonts w:ascii="Times New Roman" w:hAnsi="Times New Roman" w:cs="Times New Roman"/>
          <w:sz w:val="24"/>
          <w:szCs w:val="24"/>
        </w:rPr>
        <w:t>Rather, m</w:t>
      </w:r>
      <w:r w:rsidR="00CD4FA6">
        <w:rPr>
          <w:rFonts w:ascii="Times New Roman" w:hAnsi="Times New Roman" w:cs="Times New Roman"/>
          <w:sz w:val="24"/>
          <w:szCs w:val="24"/>
        </w:rPr>
        <w:t>ost p</w:t>
      </w:r>
      <w:r w:rsidR="002E18CD">
        <w:rPr>
          <w:rFonts w:ascii="Times New Roman" w:hAnsi="Times New Roman" w:cs="Times New Roman"/>
          <w:sz w:val="24"/>
          <w:szCs w:val="24"/>
        </w:rPr>
        <w:t xml:space="preserve">lans </w:t>
      </w:r>
      <w:r>
        <w:rPr>
          <w:rFonts w:ascii="Times New Roman" w:hAnsi="Times New Roman" w:cs="Times New Roman"/>
          <w:sz w:val="24"/>
          <w:szCs w:val="24"/>
        </w:rPr>
        <w:t xml:space="preserve">were financed </w:t>
      </w:r>
      <w:r w:rsidR="00CD4FA6">
        <w:rPr>
          <w:rFonts w:ascii="Times New Roman" w:hAnsi="Times New Roman" w:cs="Times New Roman"/>
          <w:sz w:val="24"/>
          <w:szCs w:val="24"/>
        </w:rPr>
        <w:t>using</w:t>
      </w:r>
      <w:r>
        <w:rPr>
          <w:rFonts w:ascii="Times New Roman" w:hAnsi="Times New Roman" w:cs="Times New Roman"/>
          <w:sz w:val="24"/>
          <w:szCs w:val="24"/>
        </w:rPr>
        <w:t xml:space="preserve"> the pay-as-you-go method, where </w:t>
      </w:r>
      <w:r w:rsidR="00EB413D">
        <w:rPr>
          <w:rFonts w:ascii="Times New Roman" w:hAnsi="Times New Roman" w:cs="Times New Roman"/>
          <w:sz w:val="24"/>
          <w:szCs w:val="24"/>
        </w:rPr>
        <w:t xml:space="preserve">retiree </w:t>
      </w:r>
      <w:r w:rsidR="00EB413D">
        <w:rPr>
          <w:rFonts w:ascii="Times New Roman" w:hAnsi="Times New Roman" w:cs="Times New Roman"/>
          <w:sz w:val="24"/>
          <w:szCs w:val="24"/>
        </w:rPr>
        <w:lastRenderedPageBreak/>
        <w:t>benefit</w:t>
      </w:r>
      <w:r w:rsidR="001F4E6A">
        <w:rPr>
          <w:rFonts w:ascii="Times New Roman" w:hAnsi="Times New Roman" w:cs="Times New Roman"/>
          <w:sz w:val="24"/>
          <w:szCs w:val="24"/>
        </w:rPr>
        <w:t xml:space="preserve"> payments </w:t>
      </w:r>
      <w:r w:rsidR="00CD4FA6">
        <w:rPr>
          <w:rFonts w:ascii="Times New Roman" w:hAnsi="Times New Roman" w:cs="Times New Roman"/>
          <w:sz w:val="24"/>
          <w:szCs w:val="24"/>
        </w:rPr>
        <w:t>are</w:t>
      </w:r>
      <w:r w:rsidR="001F4E6A">
        <w:rPr>
          <w:rFonts w:ascii="Times New Roman" w:hAnsi="Times New Roman" w:cs="Times New Roman"/>
          <w:sz w:val="24"/>
          <w:szCs w:val="24"/>
        </w:rPr>
        <w:t xml:space="preserve"> paid </w:t>
      </w:r>
      <w:r w:rsidR="00FC7E99">
        <w:rPr>
          <w:rFonts w:ascii="Times New Roman" w:hAnsi="Times New Roman" w:cs="Times New Roman"/>
          <w:sz w:val="24"/>
          <w:szCs w:val="24"/>
        </w:rPr>
        <w:t>from</w:t>
      </w:r>
      <w:r w:rsidR="001F4E6A">
        <w:rPr>
          <w:rFonts w:ascii="Times New Roman" w:hAnsi="Times New Roman" w:cs="Times New Roman"/>
          <w:sz w:val="24"/>
          <w:szCs w:val="24"/>
        </w:rPr>
        <w:t xml:space="preserve"> </w:t>
      </w:r>
      <w:r>
        <w:rPr>
          <w:rFonts w:ascii="Times New Roman" w:hAnsi="Times New Roman" w:cs="Times New Roman"/>
          <w:sz w:val="24"/>
          <w:szCs w:val="24"/>
        </w:rPr>
        <w:t xml:space="preserve">budgetary resources rather than </w:t>
      </w:r>
      <w:r w:rsidR="00CD4FA6">
        <w:rPr>
          <w:rFonts w:ascii="Times New Roman" w:hAnsi="Times New Roman" w:cs="Times New Roman"/>
          <w:sz w:val="24"/>
          <w:szCs w:val="24"/>
        </w:rPr>
        <w:t xml:space="preserve">using an actuarial process to “prepay” or “prefund” </w:t>
      </w:r>
      <w:r w:rsidR="00EB413D">
        <w:rPr>
          <w:rFonts w:ascii="Times New Roman" w:hAnsi="Times New Roman" w:cs="Times New Roman"/>
          <w:sz w:val="24"/>
          <w:szCs w:val="24"/>
        </w:rPr>
        <w:t>pension</w:t>
      </w:r>
      <w:r>
        <w:rPr>
          <w:rFonts w:ascii="Times New Roman" w:hAnsi="Times New Roman" w:cs="Times New Roman"/>
          <w:sz w:val="24"/>
          <w:szCs w:val="24"/>
        </w:rPr>
        <w:t xml:space="preserve"> </w:t>
      </w:r>
      <w:r w:rsidRPr="002E18CD">
        <w:rPr>
          <w:rFonts w:ascii="Times New Roman" w:hAnsi="Times New Roman" w:cs="Times New Roman"/>
          <w:sz w:val="24"/>
          <w:szCs w:val="24"/>
        </w:rPr>
        <w:t>liabilities</w:t>
      </w:r>
      <w:r w:rsidR="00EB413D" w:rsidRPr="002E18CD">
        <w:rPr>
          <w:rFonts w:ascii="Times New Roman" w:hAnsi="Times New Roman" w:cs="Times New Roman"/>
          <w:sz w:val="24"/>
          <w:szCs w:val="24"/>
        </w:rPr>
        <w:t xml:space="preserve"> (Clark, Craig and </w:t>
      </w:r>
      <w:proofErr w:type="spellStart"/>
      <w:r w:rsidR="00EB413D" w:rsidRPr="002E18CD">
        <w:rPr>
          <w:rFonts w:ascii="Times New Roman" w:hAnsi="Times New Roman" w:cs="Times New Roman"/>
          <w:sz w:val="24"/>
          <w:szCs w:val="24"/>
        </w:rPr>
        <w:t>Sabelhaus</w:t>
      </w:r>
      <w:proofErr w:type="spellEnd"/>
      <w:r w:rsidR="00EB413D" w:rsidRPr="002E18CD">
        <w:rPr>
          <w:rFonts w:ascii="Times New Roman" w:hAnsi="Times New Roman" w:cs="Times New Roman"/>
          <w:sz w:val="24"/>
          <w:szCs w:val="24"/>
        </w:rPr>
        <w:t xml:space="preserve"> 2011). </w:t>
      </w:r>
      <w:r w:rsidR="00CD4FA6">
        <w:rPr>
          <w:rFonts w:ascii="Times New Roman" w:hAnsi="Times New Roman" w:cs="Times New Roman"/>
          <w:sz w:val="24"/>
          <w:szCs w:val="24"/>
        </w:rPr>
        <w:t>Through the early- to mid-part of the twentieth century, t</w:t>
      </w:r>
      <w:r w:rsidR="002E18CD">
        <w:rPr>
          <w:rFonts w:ascii="Times New Roman" w:hAnsi="Times New Roman" w:cs="Times New Roman"/>
          <w:sz w:val="24"/>
          <w:szCs w:val="24"/>
        </w:rPr>
        <w:t xml:space="preserve">he number and size of public pension </w:t>
      </w:r>
      <w:r w:rsidR="00DD77E6">
        <w:rPr>
          <w:rFonts w:ascii="Times New Roman" w:hAnsi="Times New Roman" w:cs="Times New Roman"/>
          <w:sz w:val="24"/>
          <w:szCs w:val="24"/>
        </w:rPr>
        <w:t>systems</w:t>
      </w:r>
      <w:r w:rsidR="002E18CD">
        <w:rPr>
          <w:rFonts w:ascii="Times New Roman" w:hAnsi="Times New Roman" w:cs="Times New Roman"/>
          <w:sz w:val="24"/>
          <w:szCs w:val="24"/>
        </w:rPr>
        <w:t xml:space="preserve"> continued to grow </w:t>
      </w:r>
      <w:r w:rsidR="008D2BAD">
        <w:rPr>
          <w:rFonts w:ascii="Times New Roman" w:hAnsi="Times New Roman" w:cs="Times New Roman"/>
          <w:sz w:val="24"/>
          <w:szCs w:val="24"/>
        </w:rPr>
        <w:t>while</w:t>
      </w:r>
      <w:r w:rsidR="002E18CD">
        <w:rPr>
          <w:rFonts w:ascii="Times New Roman" w:hAnsi="Times New Roman" w:cs="Times New Roman"/>
          <w:sz w:val="24"/>
          <w:szCs w:val="24"/>
        </w:rPr>
        <w:t xml:space="preserve"> accrual practices continued to </w:t>
      </w:r>
      <w:r w:rsidR="00CD4FA6">
        <w:rPr>
          <w:rFonts w:ascii="Times New Roman" w:hAnsi="Times New Roman" w:cs="Times New Roman"/>
          <w:sz w:val="24"/>
          <w:szCs w:val="24"/>
        </w:rPr>
        <w:t>lag behind professional standards</w:t>
      </w:r>
      <w:r w:rsidR="002E18CD">
        <w:rPr>
          <w:rFonts w:ascii="Times New Roman" w:hAnsi="Times New Roman" w:cs="Times New Roman"/>
          <w:sz w:val="24"/>
          <w:szCs w:val="24"/>
        </w:rPr>
        <w:t xml:space="preserve">. </w:t>
      </w:r>
      <w:r w:rsidR="00EB413D">
        <w:rPr>
          <w:rFonts w:ascii="Times New Roman" w:hAnsi="Times New Roman" w:cs="Times New Roman"/>
          <w:sz w:val="24"/>
          <w:szCs w:val="24"/>
        </w:rPr>
        <w:t>I</w:t>
      </w:r>
      <w:r w:rsidR="00FC7E99">
        <w:rPr>
          <w:rFonts w:ascii="Times New Roman" w:hAnsi="Times New Roman" w:cs="Times New Roman"/>
          <w:sz w:val="24"/>
          <w:szCs w:val="24"/>
        </w:rPr>
        <w:t xml:space="preserve">n 1978, the </w:t>
      </w:r>
      <w:r w:rsidR="00492788">
        <w:rPr>
          <w:rFonts w:ascii="Times New Roman" w:hAnsi="Times New Roman" w:cs="Times New Roman"/>
          <w:sz w:val="24"/>
          <w:szCs w:val="24"/>
        </w:rPr>
        <w:t>congressional</w:t>
      </w:r>
      <w:r>
        <w:rPr>
          <w:rFonts w:ascii="Times New Roman" w:hAnsi="Times New Roman" w:cs="Times New Roman"/>
          <w:sz w:val="24"/>
          <w:szCs w:val="24"/>
        </w:rPr>
        <w:t xml:space="preserve"> </w:t>
      </w:r>
      <w:r w:rsidRPr="00245C87">
        <w:rPr>
          <w:rFonts w:ascii="Times New Roman" w:hAnsi="Times New Roman" w:cs="Times New Roman"/>
          <w:i/>
          <w:sz w:val="24"/>
          <w:szCs w:val="24"/>
        </w:rPr>
        <w:t xml:space="preserve">Pension Task Force Report </w:t>
      </w:r>
      <w:r>
        <w:rPr>
          <w:rFonts w:ascii="Times New Roman" w:hAnsi="Times New Roman" w:cs="Times New Roman"/>
          <w:i/>
          <w:sz w:val="24"/>
          <w:szCs w:val="24"/>
        </w:rPr>
        <w:t>o</w:t>
      </w:r>
      <w:r w:rsidRPr="00245C87">
        <w:rPr>
          <w:rFonts w:ascii="Times New Roman" w:hAnsi="Times New Roman" w:cs="Times New Roman"/>
          <w:i/>
          <w:sz w:val="24"/>
          <w:szCs w:val="24"/>
        </w:rPr>
        <w:t>n Public Employee Retirement Systems</w:t>
      </w:r>
      <w:r w:rsidR="00CD0679">
        <w:rPr>
          <w:rFonts w:ascii="Times New Roman" w:hAnsi="Times New Roman" w:cs="Times New Roman"/>
          <w:i/>
          <w:sz w:val="24"/>
          <w:szCs w:val="24"/>
        </w:rPr>
        <w:t xml:space="preserve"> </w:t>
      </w:r>
      <w:r>
        <w:rPr>
          <w:rFonts w:ascii="Times New Roman" w:hAnsi="Times New Roman" w:cs="Times New Roman"/>
          <w:sz w:val="24"/>
          <w:szCs w:val="24"/>
        </w:rPr>
        <w:t xml:space="preserve">found </w:t>
      </w:r>
      <w:r w:rsidR="001F4E6A">
        <w:rPr>
          <w:rFonts w:ascii="Times New Roman" w:hAnsi="Times New Roman" w:cs="Times New Roman"/>
          <w:sz w:val="24"/>
          <w:szCs w:val="24"/>
        </w:rPr>
        <w:t>a</w:t>
      </w:r>
      <w:r>
        <w:rPr>
          <w:rFonts w:ascii="Times New Roman" w:hAnsi="Times New Roman" w:cs="Times New Roman"/>
          <w:sz w:val="24"/>
          <w:szCs w:val="24"/>
        </w:rPr>
        <w:t xml:space="preserve"> “high degree of pension cost blindness</w:t>
      </w:r>
      <w:r w:rsidR="00492788">
        <w:rPr>
          <w:rFonts w:ascii="Times New Roman" w:hAnsi="Times New Roman" w:cs="Times New Roman"/>
          <w:sz w:val="24"/>
          <w:szCs w:val="24"/>
        </w:rPr>
        <w:t xml:space="preserve"> [...] </w:t>
      </w:r>
      <w:r>
        <w:rPr>
          <w:rFonts w:ascii="Times New Roman" w:hAnsi="Times New Roman" w:cs="Times New Roman"/>
          <w:sz w:val="24"/>
          <w:szCs w:val="24"/>
        </w:rPr>
        <w:t>due to the lack of actuarial valuations, the use of unrealistic actuarial assumptions, and the general absence of actuarial standards (</w:t>
      </w:r>
      <w:r w:rsidR="00CD4FA6">
        <w:rPr>
          <w:rFonts w:ascii="Times New Roman" w:hAnsi="Times New Roman" w:cs="Times New Roman"/>
          <w:sz w:val="24"/>
          <w:szCs w:val="24"/>
        </w:rPr>
        <w:t xml:space="preserve">1978, </w:t>
      </w:r>
      <w:r w:rsidR="002E18CD">
        <w:rPr>
          <w:rFonts w:ascii="Times New Roman" w:hAnsi="Times New Roman" w:cs="Times New Roman"/>
          <w:sz w:val="24"/>
          <w:szCs w:val="24"/>
        </w:rPr>
        <w:t xml:space="preserve">p. </w:t>
      </w:r>
      <w:r>
        <w:rPr>
          <w:rFonts w:ascii="Times New Roman" w:hAnsi="Times New Roman" w:cs="Times New Roman"/>
          <w:sz w:val="24"/>
          <w:szCs w:val="24"/>
        </w:rPr>
        <w:t xml:space="preserve">4).” </w:t>
      </w:r>
    </w:p>
    <w:p w14:paraId="0B93B600" w14:textId="38418E98" w:rsidR="007569B1" w:rsidRDefault="00C57AB1" w:rsidP="00A30884">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CD4FA6">
        <w:rPr>
          <w:rFonts w:ascii="Times New Roman" w:hAnsi="Times New Roman" w:cs="Times New Roman"/>
          <w:sz w:val="24"/>
          <w:szCs w:val="24"/>
        </w:rPr>
        <w:t>The adoption of g</w:t>
      </w:r>
      <w:r w:rsidR="006F7EC4">
        <w:rPr>
          <w:rFonts w:ascii="Times New Roman" w:hAnsi="Times New Roman" w:cs="Times New Roman"/>
          <w:sz w:val="24"/>
          <w:szCs w:val="24"/>
        </w:rPr>
        <w:t>overnmental a</w:t>
      </w:r>
      <w:r w:rsidR="00FC7E99">
        <w:rPr>
          <w:rFonts w:ascii="Times New Roman" w:hAnsi="Times New Roman" w:cs="Times New Roman"/>
          <w:sz w:val="24"/>
          <w:szCs w:val="24"/>
        </w:rPr>
        <w:t xml:space="preserve">ccounting standards </w:t>
      </w:r>
      <w:r w:rsidR="00CD4FA6">
        <w:rPr>
          <w:rFonts w:ascii="Times New Roman" w:hAnsi="Times New Roman" w:cs="Times New Roman"/>
          <w:sz w:val="24"/>
          <w:szCs w:val="24"/>
        </w:rPr>
        <w:t xml:space="preserve">for pension reporting </w:t>
      </w:r>
      <w:r w:rsidR="00FC7E99">
        <w:rPr>
          <w:rFonts w:ascii="Times New Roman" w:hAnsi="Times New Roman" w:cs="Times New Roman"/>
          <w:sz w:val="24"/>
          <w:szCs w:val="24"/>
        </w:rPr>
        <w:t xml:space="preserve">in the 1980s and 1990s (GASB 4 in </w:t>
      </w:r>
      <w:r w:rsidR="006F7EC4">
        <w:rPr>
          <w:rFonts w:ascii="Times New Roman" w:hAnsi="Times New Roman" w:cs="Times New Roman"/>
          <w:sz w:val="24"/>
          <w:szCs w:val="24"/>
        </w:rPr>
        <w:t>1986 and GASB 27 in 1994) i</w:t>
      </w:r>
      <w:r w:rsidR="00AC7AAC">
        <w:rPr>
          <w:rFonts w:ascii="Times New Roman" w:hAnsi="Times New Roman" w:cs="Times New Roman"/>
          <w:sz w:val="24"/>
          <w:szCs w:val="24"/>
        </w:rPr>
        <w:t>mprove</w:t>
      </w:r>
      <w:r w:rsidR="006F7EC4">
        <w:rPr>
          <w:rFonts w:ascii="Times New Roman" w:hAnsi="Times New Roman" w:cs="Times New Roman"/>
          <w:sz w:val="24"/>
          <w:szCs w:val="24"/>
        </w:rPr>
        <w:t xml:space="preserve">d the transparency of </w:t>
      </w:r>
      <w:r w:rsidR="00BD3023">
        <w:rPr>
          <w:rFonts w:ascii="Times New Roman" w:hAnsi="Times New Roman" w:cs="Times New Roman"/>
          <w:sz w:val="24"/>
          <w:szCs w:val="24"/>
        </w:rPr>
        <w:t xml:space="preserve">pension obligations in </w:t>
      </w:r>
      <w:r w:rsidR="006F7EC4">
        <w:rPr>
          <w:rFonts w:ascii="Times New Roman" w:hAnsi="Times New Roman" w:cs="Times New Roman"/>
          <w:sz w:val="24"/>
          <w:szCs w:val="24"/>
        </w:rPr>
        <w:t>state and local government</w:t>
      </w:r>
      <w:r w:rsidR="00BD3023">
        <w:rPr>
          <w:rFonts w:ascii="Times New Roman" w:hAnsi="Times New Roman" w:cs="Times New Roman"/>
          <w:sz w:val="24"/>
          <w:szCs w:val="24"/>
        </w:rPr>
        <w:t>s</w:t>
      </w:r>
      <w:r w:rsidR="00844AAA">
        <w:rPr>
          <w:rFonts w:ascii="Times New Roman" w:hAnsi="Times New Roman" w:cs="Times New Roman"/>
          <w:sz w:val="24"/>
          <w:szCs w:val="24"/>
        </w:rPr>
        <w:t xml:space="preserve"> (</w:t>
      </w:r>
      <w:proofErr w:type="spellStart"/>
      <w:r w:rsidR="00844AAA">
        <w:rPr>
          <w:rFonts w:ascii="Times New Roman" w:hAnsi="Times New Roman" w:cs="Times New Roman"/>
          <w:sz w:val="24"/>
          <w:szCs w:val="24"/>
        </w:rPr>
        <w:t>Dulebohn</w:t>
      </w:r>
      <w:proofErr w:type="spellEnd"/>
      <w:r w:rsidR="00844AAA">
        <w:rPr>
          <w:rFonts w:ascii="Times New Roman" w:hAnsi="Times New Roman" w:cs="Times New Roman"/>
          <w:sz w:val="24"/>
          <w:szCs w:val="24"/>
        </w:rPr>
        <w:t xml:space="preserve"> 1995)</w:t>
      </w:r>
      <w:r w:rsidR="006F7EC4">
        <w:rPr>
          <w:rFonts w:ascii="Times New Roman" w:hAnsi="Times New Roman" w:cs="Times New Roman"/>
          <w:sz w:val="24"/>
          <w:szCs w:val="24"/>
        </w:rPr>
        <w:t xml:space="preserve">. Those standards, however, </w:t>
      </w:r>
      <w:r w:rsidR="008D2BAD">
        <w:rPr>
          <w:rFonts w:ascii="Times New Roman" w:hAnsi="Times New Roman" w:cs="Times New Roman"/>
          <w:sz w:val="24"/>
          <w:szCs w:val="24"/>
        </w:rPr>
        <w:t xml:space="preserve">still permitted significant discretion in actuarial inputs </w:t>
      </w:r>
      <w:r w:rsidR="006F7EC4">
        <w:rPr>
          <w:rFonts w:ascii="Times New Roman" w:hAnsi="Times New Roman" w:cs="Times New Roman"/>
          <w:sz w:val="24"/>
          <w:szCs w:val="24"/>
        </w:rPr>
        <w:t xml:space="preserve">to the point that </w:t>
      </w:r>
      <w:r w:rsidR="002E18CD">
        <w:rPr>
          <w:rFonts w:ascii="Times New Roman" w:hAnsi="Times New Roman" w:cs="Times New Roman"/>
          <w:sz w:val="24"/>
          <w:szCs w:val="24"/>
        </w:rPr>
        <w:t xml:space="preserve">many </w:t>
      </w:r>
      <w:r w:rsidR="006F7EC4">
        <w:rPr>
          <w:rFonts w:ascii="Times New Roman" w:hAnsi="Times New Roman" w:cs="Times New Roman"/>
          <w:sz w:val="24"/>
          <w:szCs w:val="24"/>
        </w:rPr>
        <w:t>question</w:t>
      </w:r>
      <w:r w:rsidR="00EA1B2B">
        <w:rPr>
          <w:rFonts w:ascii="Times New Roman" w:hAnsi="Times New Roman" w:cs="Times New Roman"/>
          <w:sz w:val="24"/>
          <w:szCs w:val="24"/>
        </w:rPr>
        <w:t>ed</w:t>
      </w:r>
      <w:r w:rsidR="002E18CD">
        <w:rPr>
          <w:rFonts w:ascii="Times New Roman" w:hAnsi="Times New Roman" w:cs="Times New Roman"/>
          <w:sz w:val="24"/>
          <w:szCs w:val="24"/>
        </w:rPr>
        <w:t xml:space="preserve"> </w:t>
      </w:r>
      <w:r w:rsidR="006F7EC4">
        <w:rPr>
          <w:rFonts w:ascii="Times New Roman" w:hAnsi="Times New Roman" w:cs="Times New Roman"/>
          <w:sz w:val="24"/>
          <w:szCs w:val="24"/>
        </w:rPr>
        <w:t xml:space="preserve">the validity of </w:t>
      </w:r>
      <w:r w:rsidR="002E18CD">
        <w:rPr>
          <w:rFonts w:ascii="Times New Roman" w:hAnsi="Times New Roman" w:cs="Times New Roman"/>
          <w:sz w:val="24"/>
          <w:szCs w:val="24"/>
        </w:rPr>
        <w:t>the pension figures</w:t>
      </w:r>
      <w:r w:rsidR="008D2BAD">
        <w:rPr>
          <w:rFonts w:ascii="Times New Roman" w:hAnsi="Times New Roman" w:cs="Times New Roman"/>
          <w:sz w:val="24"/>
          <w:szCs w:val="24"/>
        </w:rPr>
        <w:t xml:space="preserve"> in government</w:t>
      </w:r>
      <w:r w:rsidR="00DD77E6">
        <w:rPr>
          <w:rFonts w:ascii="Times New Roman" w:hAnsi="Times New Roman" w:cs="Times New Roman"/>
          <w:sz w:val="24"/>
          <w:szCs w:val="24"/>
        </w:rPr>
        <w:t>al</w:t>
      </w:r>
      <w:r w:rsidR="008D2BAD">
        <w:rPr>
          <w:rFonts w:ascii="Times New Roman" w:hAnsi="Times New Roman" w:cs="Times New Roman"/>
          <w:sz w:val="24"/>
          <w:szCs w:val="24"/>
        </w:rPr>
        <w:t xml:space="preserve"> financial reports</w:t>
      </w:r>
      <w:r w:rsidR="000603AF">
        <w:rPr>
          <w:rFonts w:ascii="Times New Roman" w:hAnsi="Times New Roman" w:cs="Times New Roman"/>
          <w:sz w:val="24"/>
          <w:szCs w:val="24"/>
        </w:rPr>
        <w:t xml:space="preserve">. </w:t>
      </w:r>
      <w:r w:rsidR="00CD4FA6">
        <w:rPr>
          <w:rFonts w:ascii="Times New Roman" w:hAnsi="Times New Roman" w:cs="Times New Roman"/>
          <w:sz w:val="24"/>
          <w:szCs w:val="24"/>
        </w:rPr>
        <w:t>In recent years, t</w:t>
      </w:r>
      <w:r w:rsidR="00A30884">
        <w:rPr>
          <w:rFonts w:ascii="Times New Roman" w:hAnsi="Times New Roman" w:cs="Times New Roman"/>
          <w:sz w:val="24"/>
          <w:szCs w:val="24"/>
        </w:rPr>
        <w:t>h</w:t>
      </w:r>
      <w:r w:rsidR="002E18CD">
        <w:rPr>
          <w:rFonts w:ascii="Times New Roman" w:hAnsi="Times New Roman" w:cs="Times New Roman"/>
          <w:sz w:val="24"/>
          <w:szCs w:val="24"/>
        </w:rPr>
        <w:t>e</w:t>
      </w:r>
      <w:r w:rsidR="00A30884">
        <w:rPr>
          <w:rFonts w:ascii="Times New Roman" w:hAnsi="Times New Roman" w:cs="Times New Roman"/>
          <w:sz w:val="24"/>
          <w:szCs w:val="24"/>
        </w:rPr>
        <w:t>se criti</w:t>
      </w:r>
      <w:r w:rsidR="00625371">
        <w:rPr>
          <w:rFonts w:ascii="Times New Roman" w:hAnsi="Times New Roman" w:cs="Times New Roman"/>
          <w:sz w:val="24"/>
          <w:szCs w:val="24"/>
        </w:rPr>
        <w:t>cis</w:t>
      </w:r>
      <w:r w:rsidR="00A30884">
        <w:rPr>
          <w:rFonts w:ascii="Times New Roman" w:hAnsi="Times New Roman" w:cs="Times New Roman"/>
          <w:sz w:val="24"/>
          <w:szCs w:val="24"/>
        </w:rPr>
        <w:t>m</w:t>
      </w:r>
      <w:r w:rsidR="00625371">
        <w:rPr>
          <w:rFonts w:ascii="Times New Roman" w:hAnsi="Times New Roman" w:cs="Times New Roman"/>
          <w:sz w:val="24"/>
          <w:szCs w:val="24"/>
        </w:rPr>
        <w:t>s</w:t>
      </w:r>
      <w:r w:rsidR="00A30884">
        <w:rPr>
          <w:rFonts w:ascii="Times New Roman" w:hAnsi="Times New Roman" w:cs="Times New Roman"/>
          <w:sz w:val="24"/>
          <w:szCs w:val="24"/>
        </w:rPr>
        <w:t xml:space="preserve"> </w:t>
      </w:r>
      <w:r w:rsidR="006F7EC4">
        <w:rPr>
          <w:rFonts w:ascii="Times New Roman" w:hAnsi="Times New Roman" w:cs="Times New Roman"/>
          <w:sz w:val="24"/>
          <w:szCs w:val="24"/>
        </w:rPr>
        <w:t>have led to congressional bills that</w:t>
      </w:r>
      <w:r w:rsidR="00180026">
        <w:rPr>
          <w:rFonts w:ascii="Times New Roman" w:hAnsi="Times New Roman" w:cs="Times New Roman"/>
          <w:sz w:val="24"/>
          <w:szCs w:val="24"/>
        </w:rPr>
        <w:t xml:space="preserve"> have</w:t>
      </w:r>
      <w:r w:rsidR="006F7EC4">
        <w:rPr>
          <w:rFonts w:ascii="Times New Roman" w:hAnsi="Times New Roman" w:cs="Times New Roman"/>
          <w:sz w:val="24"/>
          <w:szCs w:val="24"/>
        </w:rPr>
        <w:t xml:space="preserve"> </w:t>
      </w:r>
      <w:r w:rsidR="002E18CD">
        <w:rPr>
          <w:rFonts w:ascii="Times New Roman" w:hAnsi="Times New Roman" w:cs="Times New Roman"/>
          <w:sz w:val="24"/>
          <w:szCs w:val="24"/>
        </w:rPr>
        <w:t xml:space="preserve">attempted to </w:t>
      </w:r>
      <w:r w:rsidR="00A30884">
        <w:rPr>
          <w:rFonts w:ascii="Times New Roman" w:hAnsi="Times New Roman" w:cs="Times New Roman"/>
          <w:sz w:val="24"/>
          <w:szCs w:val="24"/>
        </w:rPr>
        <w:t xml:space="preserve">require state and local pensions to report their </w:t>
      </w:r>
      <w:r w:rsidR="00CD4FA6">
        <w:rPr>
          <w:rFonts w:ascii="Times New Roman" w:hAnsi="Times New Roman" w:cs="Times New Roman"/>
          <w:sz w:val="24"/>
          <w:szCs w:val="24"/>
        </w:rPr>
        <w:t>liabilities</w:t>
      </w:r>
      <w:r w:rsidR="00A30884">
        <w:rPr>
          <w:rFonts w:ascii="Times New Roman" w:hAnsi="Times New Roman" w:cs="Times New Roman"/>
          <w:sz w:val="24"/>
          <w:szCs w:val="24"/>
        </w:rPr>
        <w:t xml:space="preserve"> using a standard set of actuarial assumptions</w:t>
      </w:r>
      <w:r w:rsidR="00180026">
        <w:rPr>
          <w:rFonts w:ascii="Times New Roman" w:hAnsi="Times New Roman" w:cs="Times New Roman"/>
          <w:sz w:val="24"/>
          <w:szCs w:val="24"/>
        </w:rPr>
        <w:t xml:space="preserve">, especially mandating that discount rates reflected </w:t>
      </w:r>
      <w:r w:rsidR="002E18CD">
        <w:rPr>
          <w:rFonts w:ascii="Times New Roman" w:hAnsi="Times New Roman" w:cs="Times New Roman"/>
          <w:sz w:val="24"/>
          <w:szCs w:val="24"/>
        </w:rPr>
        <w:t>a</w:t>
      </w:r>
      <w:r w:rsidR="00A30884">
        <w:rPr>
          <w:rFonts w:ascii="Times New Roman" w:hAnsi="Times New Roman" w:cs="Times New Roman"/>
          <w:sz w:val="24"/>
          <w:szCs w:val="24"/>
        </w:rPr>
        <w:t xml:space="preserve"> </w:t>
      </w:r>
      <w:r w:rsidR="00CD4FA6">
        <w:rPr>
          <w:rFonts w:ascii="Times New Roman" w:hAnsi="Times New Roman" w:cs="Times New Roman"/>
          <w:sz w:val="24"/>
          <w:szCs w:val="24"/>
        </w:rPr>
        <w:t xml:space="preserve">so-called </w:t>
      </w:r>
      <w:r w:rsidR="00A30884">
        <w:rPr>
          <w:rFonts w:ascii="Times New Roman" w:hAnsi="Times New Roman" w:cs="Times New Roman"/>
          <w:sz w:val="24"/>
          <w:szCs w:val="24"/>
        </w:rPr>
        <w:t xml:space="preserve">riskless rate of return (see </w:t>
      </w:r>
      <w:r w:rsidRPr="00D55F3C">
        <w:rPr>
          <w:rFonts w:ascii="Times New Roman" w:hAnsi="Times New Roman" w:cs="Times New Roman"/>
          <w:sz w:val="24"/>
          <w:szCs w:val="24"/>
        </w:rPr>
        <w:t>H.R. 567</w:t>
      </w:r>
      <w:r w:rsidR="00A30884">
        <w:rPr>
          <w:rFonts w:ascii="Times New Roman" w:hAnsi="Times New Roman" w:cs="Times New Roman"/>
          <w:sz w:val="24"/>
          <w:szCs w:val="24"/>
        </w:rPr>
        <w:t xml:space="preserve"> in 2011 and </w:t>
      </w:r>
      <w:r w:rsidRPr="00D55F3C">
        <w:rPr>
          <w:rFonts w:ascii="Times New Roman" w:hAnsi="Times New Roman" w:cs="Times New Roman"/>
          <w:sz w:val="24"/>
          <w:szCs w:val="24"/>
        </w:rPr>
        <w:t>H.R. 1628</w:t>
      </w:r>
      <w:r w:rsidR="00A30884">
        <w:rPr>
          <w:rFonts w:ascii="Times New Roman" w:hAnsi="Times New Roman" w:cs="Times New Roman"/>
          <w:sz w:val="24"/>
          <w:szCs w:val="24"/>
        </w:rPr>
        <w:t xml:space="preserve"> in 2013)</w:t>
      </w:r>
      <w:r w:rsidR="00CD4FA6">
        <w:rPr>
          <w:rFonts w:ascii="Times New Roman" w:hAnsi="Times New Roman" w:cs="Times New Roman"/>
          <w:sz w:val="24"/>
          <w:szCs w:val="24"/>
        </w:rPr>
        <w:t xml:space="preserve">; </w:t>
      </w:r>
      <w:r w:rsidR="006F7EC4">
        <w:rPr>
          <w:rFonts w:ascii="Times New Roman" w:hAnsi="Times New Roman" w:cs="Times New Roman"/>
          <w:sz w:val="24"/>
          <w:szCs w:val="24"/>
        </w:rPr>
        <w:t>s</w:t>
      </w:r>
      <w:r>
        <w:rPr>
          <w:rFonts w:ascii="Times New Roman" w:hAnsi="Times New Roman" w:cs="Times New Roman"/>
          <w:sz w:val="24"/>
          <w:szCs w:val="24"/>
        </w:rPr>
        <w:t xml:space="preserve">imilar bills </w:t>
      </w:r>
      <w:r w:rsidR="00CD4FA6">
        <w:rPr>
          <w:rFonts w:ascii="Times New Roman" w:hAnsi="Times New Roman" w:cs="Times New Roman"/>
          <w:sz w:val="24"/>
          <w:szCs w:val="24"/>
        </w:rPr>
        <w:t xml:space="preserve">were also introduced at </w:t>
      </w:r>
      <w:r w:rsidR="00A30884">
        <w:rPr>
          <w:rFonts w:ascii="Times New Roman" w:hAnsi="Times New Roman" w:cs="Times New Roman"/>
          <w:sz w:val="24"/>
          <w:szCs w:val="24"/>
        </w:rPr>
        <w:t xml:space="preserve">the state level (see </w:t>
      </w:r>
      <w:r w:rsidR="00A30884" w:rsidRPr="00D55F3C">
        <w:rPr>
          <w:rFonts w:ascii="Times New Roman" w:hAnsi="Times New Roman" w:cs="Times New Roman"/>
          <w:sz w:val="24"/>
          <w:szCs w:val="24"/>
        </w:rPr>
        <w:t>Florida SB 534</w:t>
      </w:r>
      <w:r w:rsidR="00A30884">
        <w:rPr>
          <w:rFonts w:ascii="Times New Roman" w:hAnsi="Times New Roman" w:cs="Times New Roman"/>
          <w:sz w:val="24"/>
          <w:szCs w:val="24"/>
        </w:rPr>
        <w:t xml:space="preserve"> in 2013</w:t>
      </w:r>
      <w:r>
        <w:rPr>
          <w:rFonts w:ascii="Times New Roman" w:hAnsi="Times New Roman" w:cs="Times New Roman"/>
          <w:sz w:val="24"/>
          <w:szCs w:val="24"/>
        </w:rPr>
        <w:t>)</w:t>
      </w:r>
      <w:r w:rsidR="002E18CD">
        <w:rPr>
          <w:rFonts w:ascii="Times New Roman" w:hAnsi="Times New Roman" w:cs="Times New Roman"/>
          <w:sz w:val="24"/>
          <w:szCs w:val="24"/>
        </w:rPr>
        <w:t xml:space="preserve">. The criticisms of </w:t>
      </w:r>
      <w:r w:rsidR="00CD4FA6">
        <w:rPr>
          <w:rFonts w:ascii="Times New Roman" w:hAnsi="Times New Roman" w:cs="Times New Roman"/>
          <w:sz w:val="24"/>
          <w:szCs w:val="24"/>
        </w:rPr>
        <w:t xml:space="preserve">actuarial practices, </w:t>
      </w:r>
      <w:r w:rsidR="002E18CD">
        <w:rPr>
          <w:rFonts w:ascii="Times New Roman" w:hAnsi="Times New Roman" w:cs="Times New Roman"/>
          <w:sz w:val="24"/>
          <w:szCs w:val="24"/>
        </w:rPr>
        <w:t xml:space="preserve">also led </w:t>
      </w:r>
      <w:r>
        <w:rPr>
          <w:rFonts w:ascii="Times New Roman" w:hAnsi="Times New Roman" w:cs="Times New Roman"/>
          <w:sz w:val="24"/>
          <w:szCs w:val="24"/>
        </w:rPr>
        <w:t xml:space="preserve">Moody’s </w:t>
      </w:r>
      <w:r w:rsidR="006F7EC4">
        <w:rPr>
          <w:rFonts w:ascii="Times New Roman" w:hAnsi="Times New Roman" w:cs="Times New Roman"/>
          <w:sz w:val="24"/>
          <w:szCs w:val="24"/>
        </w:rPr>
        <w:t xml:space="preserve">Investor Service </w:t>
      </w:r>
      <w:r w:rsidR="00625371">
        <w:rPr>
          <w:rFonts w:ascii="Times New Roman" w:hAnsi="Times New Roman" w:cs="Times New Roman"/>
          <w:sz w:val="24"/>
          <w:szCs w:val="24"/>
        </w:rPr>
        <w:t xml:space="preserve">to </w:t>
      </w:r>
      <w:r w:rsidR="006F7EC4">
        <w:rPr>
          <w:rFonts w:ascii="Times New Roman" w:hAnsi="Times New Roman" w:cs="Times New Roman"/>
          <w:sz w:val="24"/>
          <w:szCs w:val="24"/>
        </w:rPr>
        <w:t>implement</w:t>
      </w:r>
      <w:r>
        <w:rPr>
          <w:rFonts w:ascii="Times New Roman" w:hAnsi="Times New Roman" w:cs="Times New Roman"/>
          <w:sz w:val="24"/>
          <w:szCs w:val="24"/>
        </w:rPr>
        <w:t xml:space="preserve"> its own actuarial </w:t>
      </w:r>
      <w:r w:rsidR="00CD4FA6">
        <w:rPr>
          <w:rFonts w:ascii="Times New Roman" w:hAnsi="Times New Roman" w:cs="Times New Roman"/>
          <w:sz w:val="24"/>
          <w:szCs w:val="24"/>
        </w:rPr>
        <w:t>process</w:t>
      </w:r>
      <w:r>
        <w:rPr>
          <w:rFonts w:ascii="Times New Roman" w:hAnsi="Times New Roman" w:cs="Times New Roman"/>
          <w:sz w:val="24"/>
          <w:szCs w:val="24"/>
        </w:rPr>
        <w:t xml:space="preserve"> for valuing pension obligations</w:t>
      </w:r>
      <w:r w:rsidR="00625371">
        <w:rPr>
          <w:rFonts w:ascii="Times New Roman" w:hAnsi="Times New Roman" w:cs="Times New Roman"/>
          <w:sz w:val="24"/>
          <w:szCs w:val="24"/>
        </w:rPr>
        <w:t xml:space="preserve"> </w:t>
      </w:r>
      <w:r w:rsidR="0000355F">
        <w:rPr>
          <w:rFonts w:ascii="Times New Roman" w:hAnsi="Times New Roman" w:cs="Times New Roman"/>
          <w:sz w:val="24"/>
          <w:szCs w:val="24"/>
        </w:rPr>
        <w:t>when</w:t>
      </w:r>
      <w:r w:rsidR="00CD4FA6">
        <w:rPr>
          <w:rFonts w:ascii="Times New Roman" w:hAnsi="Times New Roman" w:cs="Times New Roman"/>
          <w:sz w:val="24"/>
          <w:szCs w:val="24"/>
        </w:rPr>
        <w:t xml:space="preserve"> setting and revising </w:t>
      </w:r>
      <w:r w:rsidR="00BD3023">
        <w:rPr>
          <w:rFonts w:ascii="Times New Roman" w:hAnsi="Times New Roman" w:cs="Times New Roman"/>
          <w:sz w:val="24"/>
          <w:szCs w:val="24"/>
        </w:rPr>
        <w:t>municipal bond</w:t>
      </w:r>
      <w:r w:rsidR="00CD4FA6">
        <w:rPr>
          <w:rFonts w:ascii="Times New Roman" w:hAnsi="Times New Roman" w:cs="Times New Roman"/>
          <w:sz w:val="24"/>
          <w:szCs w:val="24"/>
        </w:rPr>
        <w:t xml:space="preserve"> </w:t>
      </w:r>
      <w:r w:rsidR="00625371">
        <w:rPr>
          <w:rFonts w:ascii="Times New Roman" w:hAnsi="Times New Roman" w:cs="Times New Roman"/>
          <w:sz w:val="24"/>
          <w:szCs w:val="24"/>
        </w:rPr>
        <w:t>credit rating</w:t>
      </w:r>
      <w:r w:rsidR="00CD4FA6">
        <w:rPr>
          <w:rFonts w:ascii="Times New Roman" w:hAnsi="Times New Roman" w:cs="Times New Roman"/>
          <w:sz w:val="24"/>
          <w:szCs w:val="24"/>
        </w:rPr>
        <w:t>s</w:t>
      </w:r>
      <w:r w:rsidR="00BD3023">
        <w:rPr>
          <w:rFonts w:ascii="Times New Roman" w:hAnsi="Times New Roman" w:cs="Times New Roman"/>
          <w:sz w:val="24"/>
          <w:szCs w:val="24"/>
        </w:rPr>
        <w:t xml:space="preserve"> (</w:t>
      </w:r>
      <w:r w:rsidR="00180026">
        <w:rPr>
          <w:rFonts w:ascii="Times New Roman" w:hAnsi="Times New Roman" w:cs="Times New Roman"/>
          <w:sz w:val="24"/>
          <w:szCs w:val="24"/>
        </w:rPr>
        <w:t>Moody's 2013</w:t>
      </w:r>
      <w:r w:rsidR="00BD3023">
        <w:rPr>
          <w:rFonts w:ascii="Times New Roman" w:hAnsi="Times New Roman" w:cs="Times New Roman"/>
          <w:sz w:val="24"/>
          <w:szCs w:val="24"/>
        </w:rPr>
        <w:t>)</w:t>
      </w:r>
      <w:r>
        <w:rPr>
          <w:rFonts w:ascii="Times New Roman" w:hAnsi="Times New Roman" w:cs="Times New Roman"/>
          <w:sz w:val="24"/>
          <w:szCs w:val="24"/>
        </w:rPr>
        <w:t xml:space="preserve">. </w:t>
      </w:r>
    </w:p>
    <w:p w14:paraId="1D7E33A8" w14:textId="46682749" w:rsidR="00C57AB1" w:rsidRDefault="007569B1" w:rsidP="00A30884">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180026">
        <w:rPr>
          <w:rFonts w:ascii="Times New Roman" w:hAnsi="Times New Roman" w:cs="Times New Roman"/>
          <w:sz w:val="24"/>
          <w:szCs w:val="24"/>
        </w:rPr>
        <w:t xml:space="preserve">The newest pension </w:t>
      </w:r>
      <w:r w:rsidR="000603AF">
        <w:rPr>
          <w:rFonts w:ascii="Times New Roman" w:hAnsi="Times New Roman" w:cs="Times New Roman"/>
          <w:sz w:val="24"/>
          <w:szCs w:val="24"/>
        </w:rPr>
        <w:t xml:space="preserve">accounting standard, GASB 68, </w:t>
      </w:r>
      <w:r w:rsidR="00180026">
        <w:rPr>
          <w:rFonts w:ascii="Times New Roman" w:hAnsi="Times New Roman" w:cs="Times New Roman"/>
          <w:sz w:val="24"/>
          <w:szCs w:val="24"/>
        </w:rPr>
        <w:t xml:space="preserve">was recently issued and </w:t>
      </w:r>
      <w:r w:rsidR="009A7A89">
        <w:rPr>
          <w:rFonts w:ascii="Times New Roman" w:hAnsi="Times New Roman" w:cs="Times New Roman"/>
          <w:sz w:val="24"/>
          <w:szCs w:val="24"/>
        </w:rPr>
        <w:t xml:space="preserve">is effective for employer fiscal years </w:t>
      </w:r>
      <w:r w:rsidR="00180026">
        <w:rPr>
          <w:rFonts w:ascii="Times New Roman" w:hAnsi="Times New Roman" w:cs="Times New Roman"/>
          <w:sz w:val="24"/>
          <w:szCs w:val="24"/>
        </w:rPr>
        <w:t>begin</w:t>
      </w:r>
      <w:r w:rsidR="009A7A89">
        <w:rPr>
          <w:rFonts w:ascii="Times New Roman" w:hAnsi="Times New Roman" w:cs="Times New Roman"/>
          <w:sz w:val="24"/>
          <w:szCs w:val="24"/>
        </w:rPr>
        <w:t>ning</w:t>
      </w:r>
      <w:r w:rsidR="00180026">
        <w:rPr>
          <w:rFonts w:ascii="Times New Roman" w:hAnsi="Times New Roman" w:cs="Times New Roman"/>
          <w:sz w:val="24"/>
          <w:szCs w:val="24"/>
        </w:rPr>
        <w:t xml:space="preserve"> after June </w:t>
      </w:r>
      <w:r w:rsidR="009A7A89">
        <w:rPr>
          <w:rFonts w:ascii="Times New Roman" w:hAnsi="Times New Roman" w:cs="Times New Roman"/>
          <w:sz w:val="24"/>
          <w:szCs w:val="24"/>
        </w:rPr>
        <w:t xml:space="preserve">15, </w:t>
      </w:r>
      <w:r w:rsidR="00180026">
        <w:rPr>
          <w:rFonts w:ascii="Times New Roman" w:hAnsi="Times New Roman" w:cs="Times New Roman"/>
          <w:sz w:val="24"/>
          <w:szCs w:val="24"/>
        </w:rPr>
        <w:t>2014</w:t>
      </w:r>
      <w:r w:rsidR="00DD77E6">
        <w:rPr>
          <w:rFonts w:ascii="Times New Roman" w:hAnsi="Times New Roman" w:cs="Times New Roman"/>
          <w:sz w:val="24"/>
          <w:szCs w:val="24"/>
        </w:rPr>
        <w:t>. Among its provisions, the standard</w:t>
      </w:r>
      <w:r w:rsidR="009A7A89">
        <w:rPr>
          <w:rFonts w:ascii="Times New Roman" w:hAnsi="Times New Roman" w:cs="Times New Roman"/>
          <w:sz w:val="24"/>
          <w:szCs w:val="24"/>
        </w:rPr>
        <w:t xml:space="preserve"> specifies the need to use </w:t>
      </w:r>
      <w:r w:rsidR="0098612E">
        <w:rPr>
          <w:rFonts w:ascii="Times New Roman" w:hAnsi="Times New Roman" w:cs="Times New Roman"/>
          <w:sz w:val="24"/>
          <w:szCs w:val="24"/>
        </w:rPr>
        <w:t>the Entry Age Normal (EAN)</w:t>
      </w:r>
      <w:r w:rsidR="009A7A89">
        <w:rPr>
          <w:rFonts w:ascii="Times New Roman" w:hAnsi="Times New Roman" w:cs="Times New Roman"/>
          <w:sz w:val="24"/>
          <w:szCs w:val="24"/>
        </w:rPr>
        <w:t xml:space="preserve"> </w:t>
      </w:r>
      <w:r>
        <w:rPr>
          <w:rFonts w:ascii="Times New Roman" w:hAnsi="Times New Roman" w:cs="Times New Roman"/>
          <w:sz w:val="24"/>
          <w:szCs w:val="24"/>
        </w:rPr>
        <w:t>actuarial cost method</w:t>
      </w:r>
      <w:r w:rsidR="009A7A89">
        <w:rPr>
          <w:rFonts w:ascii="Times New Roman" w:hAnsi="Times New Roman" w:cs="Times New Roman"/>
          <w:sz w:val="24"/>
          <w:szCs w:val="24"/>
        </w:rPr>
        <w:t xml:space="preserve"> (</w:t>
      </w:r>
      <w:r w:rsidR="0098612E">
        <w:rPr>
          <w:rFonts w:ascii="Times New Roman" w:hAnsi="Times New Roman" w:cs="Times New Roman"/>
          <w:sz w:val="24"/>
          <w:szCs w:val="24"/>
        </w:rPr>
        <w:t xml:space="preserve">EAN </w:t>
      </w:r>
      <w:r w:rsidR="00476908">
        <w:rPr>
          <w:rFonts w:ascii="Times New Roman" w:hAnsi="Times New Roman" w:cs="Times New Roman"/>
          <w:sz w:val="24"/>
          <w:szCs w:val="24"/>
        </w:rPr>
        <w:t>front loads the recognition of retirement obligations</w:t>
      </w:r>
      <w:r w:rsidR="0098612E">
        <w:rPr>
          <w:rFonts w:ascii="Times New Roman" w:hAnsi="Times New Roman" w:cs="Times New Roman"/>
          <w:sz w:val="24"/>
          <w:szCs w:val="24"/>
        </w:rPr>
        <w:t xml:space="preserve"> compared to the next most common method, Projected </w:t>
      </w:r>
      <w:r w:rsidR="0098612E">
        <w:rPr>
          <w:rFonts w:ascii="Times New Roman" w:hAnsi="Times New Roman" w:cs="Times New Roman"/>
          <w:sz w:val="24"/>
          <w:szCs w:val="24"/>
        </w:rPr>
        <w:lastRenderedPageBreak/>
        <w:t>Unit Credit (PUC)</w:t>
      </w:r>
      <w:r w:rsidR="009A7A89">
        <w:rPr>
          <w:rFonts w:ascii="Times New Roman" w:hAnsi="Times New Roman" w:cs="Times New Roman"/>
          <w:sz w:val="24"/>
          <w:szCs w:val="24"/>
        </w:rPr>
        <w:t>)</w:t>
      </w:r>
      <w:r>
        <w:rPr>
          <w:rFonts w:ascii="Times New Roman" w:hAnsi="Times New Roman" w:cs="Times New Roman"/>
          <w:sz w:val="24"/>
          <w:szCs w:val="24"/>
        </w:rPr>
        <w:t xml:space="preserve"> and place</w:t>
      </w:r>
      <w:r w:rsidR="009A7A89">
        <w:rPr>
          <w:rFonts w:ascii="Times New Roman" w:hAnsi="Times New Roman" w:cs="Times New Roman"/>
          <w:sz w:val="24"/>
          <w:szCs w:val="24"/>
        </w:rPr>
        <w:t>s</w:t>
      </w:r>
      <w:r>
        <w:rPr>
          <w:rFonts w:ascii="Times New Roman" w:hAnsi="Times New Roman" w:cs="Times New Roman"/>
          <w:sz w:val="24"/>
          <w:szCs w:val="24"/>
        </w:rPr>
        <w:t xml:space="preserve"> </w:t>
      </w:r>
      <w:r w:rsidR="0058271C">
        <w:rPr>
          <w:rFonts w:ascii="Times New Roman" w:hAnsi="Times New Roman" w:cs="Times New Roman"/>
          <w:sz w:val="24"/>
          <w:szCs w:val="24"/>
        </w:rPr>
        <w:t xml:space="preserve">constraints </w:t>
      </w:r>
      <w:r>
        <w:rPr>
          <w:rFonts w:ascii="Times New Roman" w:hAnsi="Times New Roman" w:cs="Times New Roman"/>
          <w:sz w:val="24"/>
          <w:szCs w:val="24"/>
        </w:rPr>
        <w:t xml:space="preserve">on the use of higher discount rates by </w:t>
      </w:r>
      <w:r w:rsidR="009A7A89">
        <w:rPr>
          <w:rFonts w:ascii="Times New Roman" w:hAnsi="Times New Roman" w:cs="Times New Roman"/>
          <w:sz w:val="24"/>
          <w:szCs w:val="24"/>
        </w:rPr>
        <w:t xml:space="preserve">pension </w:t>
      </w:r>
      <w:r>
        <w:rPr>
          <w:rFonts w:ascii="Times New Roman" w:hAnsi="Times New Roman" w:cs="Times New Roman"/>
          <w:sz w:val="24"/>
          <w:szCs w:val="24"/>
        </w:rPr>
        <w:t xml:space="preserve">plans that are deeply underfunded. However, GASB 68 </w:t>
      </w:r>
      <w:r w:rsidR="000603AF">
        <w:rPr>
          <w:rFonts w:ascii="Times New Roman" w:hAnsi="Times New Roman" w:cs="Times New Roman"/>
          <w:sz w:val="24"/>
          <w:szCs w:val="24"/>
        </w:rPr>
        <w:t>still permit</w:t>
      </w:r>
      <w:r>
        <w:rPr>
          <w:rFonts w:ascii="Times New Roman" w:hAnsi="Times New Roman" w:cs="Times New Roman"/>
          <w:sz w:val="24"/>
          <w:szCs w:val="24"/>
        </w:rPr>
        <w:t>s</w:t>
      </w:r>
      <w:r w:rsidR="000603AF">
        <w:rPr>
          <w:rFonts w:ascii="Times New Roman" w:hAnsi="Times New Roman" w:cs="Times New Roman"/>
          <w:sz w:val="24"/>
          <w:szCs w:val="24"/>
        </w:rPr>
        <w:t xml:space="preserve"> a </w:t>
      </w:r>
      <w:r>
        <w:rPr>
          <w:rFonts w:ascii="Times New Roman" w:hAnsi="Times New Roman" w:cs="Times New Roman"/>
          <w:sz w:val="24"/>
          <w:szCs w:val="24"/>
        </w:rPr>
        <w:t xml:space="preserve">significant </w:t>
      </w:r>
      <w:r w:rsidR="000603AF">
        <w:rPr>
          <w:rFonts w:ascii="Times New Roman" w:hAnsi="Times New Roman" w:cs="Times New Roman"/>
          <w:sz w:val="24"/>
          <w:szCs w:val="24"/>
        </w:rPr>
        <w:t xml:space="preserve">range of actuarial </w:t>
      </w:r>
      <w:r w:rsidR="009A7A89">
        <w:rPr>
          <w:rFonts w:ascii="Times New Roman" w:hAnsi="Times New Roman" w:cs="Times New Roman"/>
          <w:sz w:val="24"/>
          <w:szCs w:val="24"/>
        </w:rPr>
        <w:t>inputs</w:t>
      </w:r>
      <w:r w:rsidR="00CD4FA6">
        <w:rPr>
          <w:rFonts w:ascii="Times New Roman" w:hAnsi="Times New Roman" w:cs="Times New Roman"/>
          <w:sz w:val="24"/>
          <w:szCs w:val="24"/>
        </w:rPr>
        <w:t xml:space="preserve">. GASB 68 also </w:t>
      </w:r>
      <w:r>
        <w:rPr>
          <w:rFonts w:ascii="Times New Roman" w:hAnsi="Times New Roman" w:cs="Times New Roman"/>
          <w:sz w:val="24"/>
          <w:szCs w:val="24"/>
        </w:rPr>
        <w:t>move</w:t>
      </w:r>
      <w:r w:rsidR="00CD4FA6">
        <w:rPr>
          <w:rFonts w:ascii="Times New Roman" w:hAnsi="Times New Roman" w:cs="Times New Roman"/>
          <w:sz w:val="24"/>
          <w:szCs w:val="24"/>
        </w:rPr>
        <w:t>s</w:t>
      </w:r>
      <w:r>
        <w:rPr>
          <w:rFonts w:ascii="Times New Roman" w:hAnsi="Times New Roman" w:cs="Times New Roman"/>
          <w:sz w:val="24"/>
          <w:szCs w:val="24"/>
        </w:rPr>
        <w:t xml:space="preserve"> away from setting standards on contribution</w:t>
      </w:r>
      <w:r w:rsidR="00CD4FA6">
        <w:rPr>
          <w:rFonts w:ascii="Times New Roman" w:hAnsi="Times New Roman" w:cs="Times New Roman"/>
          <w:sz w:val="24"/>
          <w:szCs w:val="24"/>
        </w:rPr>
        <w:t xml:space="preserve"> </w:t>
      </w:r>
      <w:r w:rsidR="00BD3023">
        <w:rPr>
          <w:rFonts w:ascii="Times New Roman" w:hAnsi="Times New Roman" w:cs="Times New Roman"/>
          <w:sz w:val="24"/>
          <w:szCs w:val="24"/>
        </w:rPr>
        <w:t>requirements</w:t>
      </w:r>
      <w:r>
        <w:rPr>
          <w:rFonts w:ascii="Times New Roman" w:hAnsi="Times New Roman" w:cs="Times New Roman"/>
          <w:sz w:val="24"/>
          <w:szCs w:val="24"/>
        </w:rPr>
        <w:t xml:space="preserve">. </w:t>
      </w:r>
    </w:p>
    <w:p w14:paraId="360F314B" w14:textId="28DCACEF" w:rsidR="006E0798" w:rsidRDefault="00625371" w:rsidP="0052683E">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Academic studies suggest that decision makers </w:t>
      </w:r>
      <w:r w:rsidR="000603AF">
        <w:rPr>
          <w:rFonts w:ascii="Times New Roman" w:hAnsi="Times New Roman" w:cs="Times New Roman"/>
          <w:sz w:val="24"/>
          <w:szCs w:val="24"/>
        </w:rPr>
        <w:t xml:space="preserve">have </w:t>
      </w:r>
      <w:r>
        <w:rPr>
          <w:rFonts w:ascii="Times New Roman" w:hAnsi="Times New Roman" w:cs="Times New Roman"/>
          <w:sz w:val="24"/>
          <w:szCs w:val="24"/>
        </w:rPr>
        <w:t>use</w:t>
      </w:r>
      <w:r w:rsidR="00CD4FA6">
        <w:rPr>
          <w:rFonts w:ascii="Times New Roman" w:hAnsi="Times New Roman" w:cs="Times New Roman"/>
          <w:sz w:val="24"/>
          <w:szCs w:val="24"/>
        </w:rPr>
        <w:t>d</w:t>
      </w:r>
      <w:r w:rsidR="000603AF">
        <w:rPr>
          <w:rFonts w:ascii="Times New Roman" w:hAnsi="Times New Roman" w:cs="Times New Roman"/>
          <w:sz w:val="24"/>
          <w:szCs w:val="24"/>
        </w:rPr>
        <w:t xml:space="preserve"> the discretion</w:t>
      </w:r>
      <w:r w:rsidR="00CD4FA6">
        <w:rPr>
          <w:rFonts w:ascii="Times New Roman" w:hAnsi="Times New Roman" w:cs="Times New Roman"/>
          <w:sz w:val="24"/>
          <w:szCs w:val="24"/>
        </w:rPr>
        <w:t xml:space="preserve"> </w:t>
      </w:r>
      <w:r w:rsidR="009A7A89">
        <w:rPr>
          <w:rFonts w:ascii="Times New Roman" w:hAnsi="Times New Roman" w:cs="Times New Roman"/>
          <w:sz w:val="24"/>
          <w:szCs w:val="24"/>
        </w:rPr>
        <w:t>allowed</w:t>
      </w:r>
      <w:r w:rsidR="00CD4FA6">
        <w:rPr>
          <w:rFonts w:ascii="Times New Roman" w:hAnsi="Times New Roman" w:cs="Times New Roman"/>
          <w:sz w:val="24"/>
          <w:szCs w:val="24"/>
        </w:rPr>
        <w:t xml:space="preserve"> by </w:t>
      </w:r>
      <w:r w:rsidR="00BD3023">
        <w:rPr>
          <w:rFonts w:ascii="Times New Roman" w:hAnsi="Times New Roman" w:cs="Times New Roman"/>
          <w:sz w:val="24"/>
          <w:szCs w:val="24"/>
        </w:rPr>
        <w:t xml:space="preserve">accounting standards </w:t>
      </w:r>
      <w:r w:rsidR="000603AF">
        <w:rPr>
          <w:rFonts w:ascii="Times New Roman" w:hAnsi="Times New Roman" w:cs="Times New Roman"/>
          <w:sz w:val="24"/>
          <w:szCs w:val="24"/>
        </w:rPr>
        <w:t xml:space="preserve">to </w:t>
      </w:r>
      <w:r w:rsidR="00A41A43">
        <w:rPr>
          <w:rFonts w:ascii="Times New Roman" w:hAnsi="Times New Roman" w:cs="Times New Roman"/>
          <w:sz w:val="24"/>
          <w:szCs w:val="24"/>
        </w:rPr>
        <w:t xml:space="preserve">adopt actuarial inputs </w:t>
      </w:r>
      <w:r w:rsidR="000603AF">
        <w:rPr>
          <w:rFonts w:ascii="Times New Roman" w:hAnsi="Times New Roman" w:cs="Times New Roman"/>
          <w:sz w:val="24"/>
          <w:szCs w:val="24"/>
        </w:rPr>
        <w:t xml:space="preserve">that </w:t>
      </w:r>
      <w:r w:rsidR="009A7A89">
        <w:rPr>
          <w:rFonts w:ascii="Times New Roman" w:hAnsi="Times New Roman" w:cs="Times New Roman"/>
          <w:sz w:val="24"/>
          <w:szCs w:val="24"/>
        </w:rPr>
        <w:t>p</w:t>
      </w:r>
      <w:r w:rsidR="006E0798">
        <w:rPr>
          <w:rFonts w:ascii="Times New Roman" w:hAnsi="Times New Roman" w:cs="Times New Roman"/>
          <w:sz w:val="24"/>
          <w:szCs w:val="24"/>
        </w:rPr>
        <w:t>ostpone pension cost</w:t>
      </w:r>
      <w:r>
        <w:rPr>
          <w:rFonts w:ascii="Times New Roman" w:hAnsi="Times New Roman" w:cs="Times New Roman"/>
          <w:sz w:val="24"/>
          <w:szCs w:val="24"/>
        </w:rPr>
        <w:t>s</w:t>
      </w:r>
      <w:r w:rsidR="006E0798">
        <w:rPr>
          <w:rFonts w:ascii="Times New Roman" w:hAnsi="Times New Roman" w:cs="Times New Roman"/>
          <w:sz w:val="24"/>
          <w:szCs w:val="24"/>
        </w:rPr>
        <w:t xml:space="preserve"> </w:t>
      </w:r>
      <w:r w:rsidR="000603AF">
        <w:rPr>
          <w:rFonts w:ascii="Times New Roman" w:hAnsi="Times New Roman" w:cs="Times New Roman"/>
          <w:sz w:val="24"/>
          <w:szCs w:val="24"/>
        </w:rPr>
        <w:t xml:space="preserve">in order to spend more on </w:t>
      </w:r>
      <w:r w:rsidR="005A7131">
        <w:rPr>
          <w:rFonts w:ascii="Times New Roman" w:hAnsi="Times New Roman" w:cs="Times New Roman"/>
          <w:sz w:val="24"/>
          <w:szCs w:val="24"/>
        </w:rPr>
        <w:t>current</w:t>
      </w:r>
      <w:r w:rsidR="0058271C">
        <w:rPr>
          <w:rFonts w:ascii="Times New Roman" w:hAnsi="Times New Roman" w:cs="Times New Roman"/>
          <w:sz w:val="24"/>
          <w:szCs w:val="24"/>
        </w:rPr>
        <w:t xml:space="preserve"> government</w:t>
      </w:r>
      <w:r w:rsidR="005A7131">
        <w:rPr>
          <w:rFonts w:ascii="Times New Roman" w:hAnsi="Times New Roman" w:cs="Times New Roman"/>
          <w:sz w:val="24"/>
          <w:szCs w:val="24"/>
        </w:rPr>
        <w:t xml:space="preserve"> service</w:t>
      </w:r>
      <w:r>
        <w:rPr>
          <w:rFonts w:ascii="Times New Roman" w:hAnsi="Times New Roman" w:cs="Times New Roman"/>
          <w:sz w:val="24"/>
          <w:szCs w:val="24"/>
        </w:rPr>
        <w:t>s</w:t>
      </w:r>
      <w:r w:rsidR="00DD5B7E">
        <w:rPr>
          <w:rFonts w:ascii="Times New Roman" w:hAnsi="Times New Roman" w:cs="Times New Roman"/>
          <w:sz w:val="24"/>
          <w:szCs w:val="24"/>
        </w:rPr>
        <w:t xml:space="preserve"> (</w:t>
      </w:r>
      <w:r w:rsidR="00736E0D" w:rsidRPr="00736E0D">
        <w:rPr>
          <w:rFonts w:ascii="Times New Roman" w:hAnsi="Times New Roman" w:cs="Times New Roman"/>
          <w:sz w:val="24"/>
          <w:szCs w:val="24"/>
        </w:rPr>
        <w:t>Johnson 1997</w:t>
      </w:r>
      <w:r w:rsidR="00736E0D">
        <w:rPr>
          <w:rFonts w:ascii="Times New Roman" w:hAnsi="Times New Roman" w:cs="Times New Roman"/>
          <w:sz w:val="24"/>
          <w:szCs w:val="24"/>
        </w:rPr>
        <w:t xml:space="preserve">; </w:t>
      </w:r>
      <w:r w:rsidR="00736E0D" w:rsidRPr="00AB67A5">
        <w:rPr>
          <w:rFonts w:ascii="Times New Roman" w:hAnsi="Times New Roman" w:cs="Times New Roman"/>
          <w:sz w:val="24"/>
          <w:szCs w:val="24"/>
        </w:rPr>
        <w:t>Marks, Raman and</w:t>
      </w:r>
      <w:r w:rsidR="00736E0D">
        <w:rPr>
          <w:rFonts w:ascii="Times New Roman" w:hAnsi="Times New Roman" w:cs="Times New Roman"/>
          <w:sz w:val="24"/>
          <w:szCs w:val="24"/>
        </w:rPr>
        <w:t xml:space="preserve"> Wilson 1988</w:t>
      </w:r>
      <w:r w:rsidR="00DD5B7E">
        <w:rPr>
          <w:rFonts w:ascii="Times New Roman" w:hAnsi="Times New Roman" w:cs="Times New Roman"/>
          <w:sz w:val="24"/>
          <w:szCs w:val="24"/>
        </w:rPr>
        <w:t>)</w:t>
      </w:r>
      <w:r w:rsidR="006E0798">
        <w:rPr>
          <w:rFonts w:ascii="Times New Roman" w:hAnsi="Times New Roman" w:cs="Times New Roman"/>
          <w:sz w:val="24"/>
          <w:szCs w:val="24"/>
        </w:rPr>
        <w:t xml:space="preserve">. </w:t>
      </w:r>
      <w:r w:rsidR="005A7131">
        <w:rPr>
          <w:rFonts w:ascii="Times New Roman" w:hAnsi="Times New Roman" w:cs="Times New Roman"/>
          <w:sz w:val="24"/>
          <w:szCs w:val="24"/>
        </w:rPr>
        <w:t>Th</w:t>
      </w:r>
      <w:r w:rsidR="00EA1B2B">
        <w:rPr>
          <w:rFonts w:ascii="Times New Roman" w:hAnsi="Times New Roman" w:cs="Times New Roman"/>
          <w:sz w:val="24"/>
          <w:szCs w:val="24"/>
        </w:rPr>
        <w:t>o</w:t>
      </w:r>
      <w:r w:rsidR="005A7131">
        <w:rPr>
          <w:rFonts w:ascii="Times New Roman" w:hAnsi="Times New Roman" w:cs="Times New Roman"/>
          <w:sz w:val="24"/>
          <w:szCs w:val="24"/>
        </w:rPr>
        <w:t>s</w:t>
      </w:r>
      <w:r w:rsidR="000603AF">
        <w:rPr>
          <w:rFonts w:ascii="Times New Roman" w:hAnsi="Times New Roman" w:cs="Times New Roman"/>
          <w:sz w:val="24"/>
          <w:szCs w:val="24"/>
        </w:rPr>
        <w:t>e</w:t>
      </w:r>
      <w:r w:rsidR="005A7131">
        <w:rPr>
          <w:rFonts w:ascii="Times New Roman" w:hAnsi="Times New Roman" w:cs="Times New Roman"/>
          <w:sz w:val="24"/>
          <w:szCs w:val="24"/>
        </w:rPr>
        <w:t xml:space="preserve"> incentive</w:t>
      </w:r>
      <w:r w:rsidR="000603AF">
        <w:rPr>
          <w:rFonts w:ascii="Times New Roman" w:hAnsi="Times New Roman" w:cs="Times New Roman"/>
          <w:sz w:val="24"/>
          <w:szCs w:val="24"/>
        </w:rPr>
        <w:t>s</w:t>
      </w:r>
      <w:r w:rsidR="005A7131">
        <w:rPr>
          <w:rFonts w:ascii="Times New Roman" w:hAnsi="Times New Roman" w:cs="Times New Roman"/>
          <w:sz w:val="24"/>
          <w:szCs w:val="24"/>
        </w:rPr>
        <w:t xml:space="preserve"> </w:t>
      </w:r>
      <w:r w:rsidR="000603AF">
        <w:rPr>
          <w:rFonts w:ascii="Times New Roman" w:hAnsi="Times New Roman" w:cs="Times New Roman"/>
          <w:sz w:val="24"/>
          <w:szCs w:val="24"/>
        </w:rPr>
        <w:t>are</w:t>
      </w:r>
      <w:r>
        <w:rPr>
          <w:rFonts w:ascii="Times New Roman" w:hAnsi="Times New Roman" w:cs="Times New Roman"/>
          <w:sz w:val="24"/>
          <w:szCs w:val="24"/>
        </w:rPr>
        <w:t xml:space="preserve"> thought to be </w:t>
      </w:r>
      <w:r w:rsidR="005A7131">
        <w:rPr>
          <w:rFonts w:ascii="Times New Roman" w:hAnsi="Times New Roman" w:cs="Times New Roman"/>
          <w:sz w:val="24"/>
          <w:szCs w:val="24"/>
        </w:rPr>
        <w:t>particularly strong</w:t>
      </w:r>
      <w:r w:rsidR="007569B1">
        <w:rPr>
          <w:rFonts w:ascii="Times New Roman" w:hAnsi="Times New Roman" w:cs="Times New Roman"/>
          <w:sz w:val="24"/>
          <w:szCs w:val="24"/>
        </w:rPr>
        <w:t xml:space="preserve"> in </w:t>
      </w:r>
      <w:r w:rsidR="005A7131">
        <w:rPr>
          <w:rFonts w:ascii="Times New Roman" w:hAnsi="Times New Roman" w:cs="Times New Roman"/>
          <w:sz w:val="24"/>
          <w:szCs w:val="24"/>
        </w:rPr>
        <w:t>government</w:t>
      </w:r>
      <w:r>
        <w:rPr>
          <w:rFonts w:ascii="Times New Roman" w:hAnsi="Times New Roman" w:cs="Times New Roman"/>
          <w:sz w:val="24"/>
          <w:szCs w:val="24"/>
        </w:rPr>
        <w:t xml:space="preserve">s </w:t>
      </w:r>
      <w:r w:rsidR="000603AF">
        <w:rPr>
          <w:rFonts w:ascii="Times New Roman" w:hAnsi="Times New Roman" w:cs="Times New Roman"/>
          <w:sz w:val="24"/>
          <w:szCs w:val="24"/>
        </w:rPr>
        <w:t>under</w:t>
      </w:r>
      <w:r w:rsidR="005A7131">
        <w:rPr>
          <w:rFonts w:ascii="Times New Roman" w:hAnsi="Times New Roman" w:cs="Times New Roman"/>
          <w:sz w:val="24"/>
          <w:szCs w:val="24"/>
        </w:rPr>
        <w:t xml:space="preserve"> budgetary stress</w:t>
      </w:r>
      <w:r w:rsidR="00DD5B7E">
        <w:rPr>
          <w:rFonts w:ascii="Times New Roman" w:hAnsi="Times New Roman" w:cs="Times New Roman"/>
          <w:sz w:val="24"/>
          <w:szCs w:val="24"/>
        </w:rPr>
        <w:t xml:space="preserve"> (</w:t>
      </w:r>
      <w:r w:rsidR="00F44243">
        <w:rPr>
          <w:rFonts w:ascii="Times New Roman" w:hAnsi="Times New Roman" w:cs="Times New Roman"/>
          <w:sz w:val="24"/>
          <w:szCs w:val="24"/>
        </w:rPr>
        <w:t xml:space="preserve">Chaney, Copley, and Stone </w:t>
      </w:r>
      <w:r w:rsidR="00F44243" w:rsidRPr="00736E0D">
        <w:rPr>
          <w:rFonts w:ascii="Times New Roman" w:hAnsi="Times New Roman" w:cs="Times New Roman"/>
          <w:sz w:val="24"/>
          <w:szCs w:val="24"/>
        </w:rPr>
        <w:t>2002</w:t>
      </w:r>
      <w:r w:rsidR="00F44243">
        <w:rPr>
          <w:rFonts w:ascii="Times New Roman" w:hAnsi="Times New Roman" w:cs="Times New Roman"/>
          <w:sz w:val="24"/>
          <w:szCs w:val="24"/>
        </w:rPr>
        <w:t xml:space="preserve">; </w:t>
      </w:r>
      <w:proofErr w:type="spellStart"/>
      <w:r w:rsidR="00F44243">
        <w:rPr>
          <w:rFonts w:ascii="Times New Roman" w:hAnsi="Times New Roman" w:cs="Times New Roman"/>
          <w:sz w:val="24"/>
          <w:szCs w:val="24"/>
        </w:rPr>
        <w:t>Giertz</w:t>
      </w:r>
      <w:proofErr w:type="spellEnd"/>
      <w:r w:rsidR="00F44243">
        <w:rPr>
          <w:rFonts w:ascii="Times New Roman" w:hAnsi="Times New Roman" w:cs="Times New Roman"/>
          <w:sz w:val="24"/>
          <w:szCs w:val="24"/>
        </w:rPr>
        <w:t xml:space="preserve"> and </w:t>
      </w:r>
      <w:proofErr w:type="spellStart"/>
      <w:r w:rsidR="00F44243">
        <w:rPr>
          <w:rFonts w:ascii="Times New Roman" w:hAnsi="Times New Roman" w:cs="Times New Roman"/>
          <w:sz w:val="24"/>
          <w:szCs w:val="24"/>
        </w:rPr>
        <w:t>Papke</w:t>
      </w:r>
      <w:proofErr w:type="spellEnd"/>
      <w:r w:rsidR="00F44243">
        <w:rPr>
          <w:rFonts w:ascii="Times New Roman" w:hAnsi="Times New Roman" w:cs="Times New Roman"/>
          <w:sz w:val="24"/>
          <w:szCs w:val="24"/>
        </w:rPr>
        <w:t xml:space="preserve"> </w:t>
      </w:r>
      <w:r w:rsidR="00F44243" w:rsidRPr="00736E0D">
        <w:rPr>
          <w:rFonts w:ascii="Times New Roman" w:hAnsi="Times New Roman" w:cs="Times New Roman"/>
          <w:sz w:val="24"/>
          <w:szCs w:val="24"/>
        </w:rPr>
        <w:t>2007</w:t>
      </w:r>
      <w:r w:rsidR="00F44243">
        <w:rPr>
          <w:rFonts w:ascii="Times New Roman" w:hAnsi="Times New Roman" w:cs="Times New Roman"/>
          <w:sz w:val="24"/>
          <w:szCs w:val="24"/>
        </w:rPr>
        <w:t xml:space="preserve">; </w:t>
      </w:r>
      <w:r w:rsidR="00736E0D">
        <w:rPr>
          <w:rFonts w:ascii="Times New Roman" w:hAnsi="Times New Roman" w:cs="Times New Roman"/>
          <w:sz w:val="24"/>
          <w:szCs w:val="24"/>
        </w:rPr>
        <w:t xml:space="preserve">Mitchell and </w:t>
      </w:r>
      <w:proofErr w:type="spellStart"/>
      <w:r w:rsidR="00736E0D">
        <w:rPr>
          <w:rFonts w:ascii="Times New Roman" w:hAnsi="Times New Roman" w:cs="Times New Roman"/>
          <w:sz w:val="24"/>
          <w:szCs w:val="24"/>
        </w:rPr>
        <w:t>Hsin</w:t>
      </w:r>
      <w:proofErr w:type="spellEnd"/>
      <w:r w:rsidR="00736E0D">
        <w:rPr>
          <w:rFonts w:ascii="Times New Roman" w:hAnsi="Times New Roman" w:cs="Times New Roman"/>
          <w:sz w:val="24"/>
          <w:szCs w:val="24"/>
        </w:rPr>
        <w:t xml:space="preserve"> </w:t>
      </w:r>
      <w:r w:rsidR="00736E0D" w:rsidRPr="00736E0D">
        <w:rPr>
          <w:rFonts w:ascii="Times New Roman" w:hAnsi="Times New Roman" w:cs="Times New Roman"/>
          <w:sz w:val="24"/>
          <w:szCs w:val="24"/>
        </w:rPr>
        <w:t>199</w:t>
      </w:r>
      <w:r w:rsidR="00736E0D">
        <w:rPr>
          <w:rFonts w:ascii="Times New Roman" w:hAnsi="Times New Roman" w:cs="Times New Roman"/>
          <w:sz w:val="24"/>
          <w:szCs w:val="24"/>
        </w:rPr>
        <w:t xml:space="preserve">7; Schneider and </w:t>
      </w:r>
      <w:proofErr w:type="spellStart"/>
      <w:r w:rsidR="00736E0D">
        <w:rPr>
          <w:rFonts w:ascii="Times New Roman" w:hAnsi="Times New Roman" w:cs="Times New Roman"/>
          <w:sz w:val="24"/>
          <w:szCs w:val="24"/>
        </w:rPr>
        <w:t>Damanpour</w:t>
      </w:r>
      <w:proofErr w:type="spellEnd"/>
      <w:r w:rsidR="00736E0D">
        <w:rPr>
          <w:rFonts w:ascii="Times New Roman" w:hAnsi="Times New Roman" w:cs="Times New Roman"/>
          <w:sz w:val="24"/>
          <w:szCs w:val="24"/>
        </w:rPr>
        <w:t xml:space="preserve"> </w:t>
      </w:r>
      <w:r w:rsidR="00736E0D" w:rsidRPr="00736E0D">
        <w:rPr>
          <w:rFonts w:ascii="Times New Roman" w:hAnsi="Times New Roman" w:cs="Times New Roman"/>
          <w:sz w:val="24"/>
          <w:szCs w:val="24"/>
        </w:rPr>
        <w:t>2002</w:t>
      </w:r>
      <w:r w:rsidR="00DD5B7E">
        <w:rPr>
          <w:rFonts w:ascii="Times New Roman" w:hAnsi="Times New Roman" w:cs="Times New Roman"/>
          <w:sz w:val="24"/>
          <w:szCs w:val="24"/>
        </w:rPr>
        <w:t>)</w:t>
      </w:r>
      <w:r w:rsidR="005A7131">
        <w:rPr>
          <w:rFonts w:ascii="Times New Roman" w:hAnsi="Times New Roman" w:cs="Times New Roman"/>
          <w:sz w:val="24"/>
          <w:szCs w:val="24"/>
        </w:rPr>
        <w:t xml:space="preserve">. </w:t>
      </w:r>
      <w:r>
        <w:rPr>
          <w:rFonts w:ascii="Times New Roman" w:hAnsi="Times New Roman" w:cs="Times New Roman"/>
          <w:sz w:val="24"/>
          <w:szCs w:val="24"/>
        </w:rPr>
        <w:t xml:space="preserve">Other </w:t>
      </w:r>
      <w:r w:rsidR="005A7131">
        <w:rPr>
          <w:rFonts w:ascii="Times New Roman" w:hAnsi="Times New Roman" w:cs="Times New Roman"/>
          <w:sz w:val="24"/>
          <w:szCs w:val="24"/>
        </w:rPr>
        <w:t>studies f</w:t>
      </w:r>
      <w:r w:rsidR="000603AF">
        <w:rPr>
          <w:rFonts w:ascii="Times New Roman" w:hAnsi="Times New Roman" w:cs="Times New Roman"/>
          <w:sz w:val="24"/>
          <w:szCs w:val="24"/>
        </w:rPr>
        <w:t>i</w:t>
      </w:r>
      <w:r w:rsidR="0058271C">
        <w:rPr>
          <w:rFonts w:ascii="Times New Roman" w:hAnsi="Times New Roman" w:cs="Times New Roman"/>
          <w:sz w:val="24"/>
          <w:szCs w:val="24"/>
        </w:rPr>
        <w:t xml:space="preserve">nd that the selection of actuarial inputs is affected by political pressure </w:t>
      </w:r>
      <w:r w:rsidR="006E0798">
        <w:rPr>
          <w:rFonts w:ascii="Times New Roman" w:hAnsi="Times New Roman" w:cs="Times New Roman"/>
          <w:sz w:val="24"/>
          <w:szCs w:val="24"/>
        </w:rPr>
        <w:t>(</w:t>
      </w:r>
      <w:r w:rsidR="0052683E" w:rsidRPr="00B87647">
        <w:rPr>
          <w:rFonts w:ascii="Times New Roman" w:hAnsi="Times New Roman" w:cs="Times New Roman"/>
          <w:sz w:val="24"/>
          <w:szCs w:val="24"/>
        </w:rPr>
        <w:t>Romano 1993</w:t>
      </w:r>
      <w:r w:rsidR="0058271C">
        <w:rPr>
          <w:rFonts w:ascii="Times New Roman" w:hAnsi="Times New Roman" w:cs="Times New Roman"/>
          <w:sz w:val="24"/>
          <w:szCs w:val="24"/>
        </w:rPr>
        <w:t>)</w:t>
      </w:r>
      <w:r w:rsidR="000603AF">
        <w:rPr>
          <w:rFonts w:ascii="Times New Roman" w:hAnsi="Times New Roman" w:cs="Times New Roman"/>
          <w:sz w:val="24"/>
          <w:szCs w:val="24"/>
        </w:rPr>
        <w:t>.</w:t>
      </w:r>
      <w:r w:rsidR="00465920">
        <w:rPr>
          <w:rFonts w:ascii="Times New Roman" w:hAnsi="Times New Roman" w:cs="Times New Roman"/>
          <w:sz w:val="24"/>
          <w:szCs w:val="24"/>
        </w:rPr>
        <w:t xml:space="preserve"> For example,</w:t>
      </w:r>
      <w:r w:rsidR="0052683E" w:rsidRPr="0052683E">
        <w:t xml:space="preserve"> </w:t>
      </w:r>
      <w:r w:rsidR="0052683E" w:rsidRPr="00B87647">
        <w:rPr>
          <w:rFonts w:ascii="Times New Roman" w:hAnsi="Times New Roman" w:cs="Times New Roman"/>
          <w:sz w:val="24"/>
          <w:szCs w:val="24"/>
        </w:rPr>
        <w:t xml:space="preserve">Levine, Rubin and </w:t>
      </w:r>
      <w:proofErr w:type="spellStart"/>
      <w:r w:rsidR="0052683E" w:rsidRPr="00B87647">
        <w:rPr>
          <w:rFonts w:ascii="Times New Roman" w:hAnsi="Times New Roman" w:cs="Times New Roman"/>
          <w:sz w:val="24"/>
          <w:szCs w:val="24"/>
        </w:rPr>
        <w:t>Wolohojian</w:t>
      </w:r>
      <w:proofErr w:type="spellEnd"/>
      <w:r w:rsidR="0052683E" w:rsidRPr="00B87647">
        <w:rPr>
          <w:rFonts w:ascii="Times New Roman" w:hAnsi="Times New Roman" w:cs="Times New Roman"/>
          <w:sz w:val="24"/>
          <w:szCs w:val="24"/>
        </w:rPr>
        <w:t xml:space="preserve"> (1981) f</w:t>
      </w:r>
      <w:r w:rsidR="00A41A43">
        <w:rPr>
          <w:rFonts w:ascii="Times New Roman" w:hAnsi="Times New Roman" w:cs="Times New Roman"/>
          <w:sz w:val="24"/>
          <w:szCs w:val="24"/>
        </w:rPr>
        <w:t>ou</w:t>
      </w:r>
      <w:r w:rsidR="0052683E" w:rsidRPr="00B87647">
        <w:rPr>
          <w:rFonts w:ascii="Times New Roman" w:hAnsi="Times New Roman" w:cs="Times New Roman"/>
          <w:sz w:val="24"/>
          <w:szCs w:val="24"/>
        </w:rPr>
        <w:t xml:space="preserve">nd that when the City of Oakland was under fiscal </w:t>
      </w:r>
      <w:r w:rsidR="0052683E" w:rsidRPr="0052683E">
        <w:rPr>
          <w:rFonts w:ascii="Times New Roman" w:hAnsi="Times New Roman" w:cs="Times New Roman"/>
          <w:sz w:val="24"/>
          <w:szCs w:val="24"/>
        </w:rPr>
        <w:t>stress</w:t>
      </w:r>
      <w:r w:rsidR="00A41A43">
        <w:rPr>
          <w:rFonts w:ascii="Times New Roman" w:hAnsi="Times New Roman" w:cs="Times New Roman"/>
          <w:sz w:val="24"/>
          <w:szCs w:val="24"/>
        </w:rPr>
        <w:t xml:space="preserve"> in the 1970s</w:t>
      </w:r>
      <w:r w:rsidR="0052683E" w:rsidRPr="0052683E">
        <w:rPr>
          <w:rFonts w:ascii="Times New Roman" w:hAnsi="Times New Roman" w:cs="Times New Roman"/>
          <w:sz w:val="24"/>
          <w:szCs w:val="24"/>
        </w:rPr>
        <w:t>, the</w:t>
      </w:r>
      <w:r w:rsidR="00A41A43">
        <w:rPr>
          <w:rFonts w:ascii="Times New Roman" w:hAnsi="Times New Roman" w:cs="Times New Roman"/>
          <w:sz w:val="24"/>
          <w:szCs w:val="24"/>
        </w:rPr>
        <w:t>ir</w:t>
      </w:r>
      <w:r w:rsidR="0052683E" w:rsidRPr="0052683E">
        <w:rPr>
          <w:rFonts w:ascii="Times New Roman" w:hAnsi="Times New Roman" w:cs="Times New Roman"/>
          <w:sz w:val="24"/>
          <w:szCs w:val="24"/>
        </w:rPr>
        <w:t xml:space="preserve"> pension system increased </w:t>
      </w:r>
      <w:r w:rsidR="00A41A43">
        <w:rPr>
          <w:rFonts w:ascii="Times New Roman" w:hAnsi="Times New Roman" w:cs="Times New Roman"/>
          <w:sz w:val="24"/>
          <w:szCs w:val="24"/>
        </w:rPr>
        <w:t>its</w:t>
      </w:r>
      <w:r w:rsidR="0052683E" w:rsidRPr="0052683E">
        <w:rPr>
          <w:rFonts w:ascii="Times New Roman" w:hAnsi="Times New Roman" w:cs="Times New Roman"/>
          <w:sz w:val="24"/>
          <w:szCs w:val="24"/>
        </w:rPr>
        <w:t xml:space="preserve"> amortization period from 14 years to 40 years. </w:t>
      </w:r>
      <w:r w:rsidR="0058271C">
        <w:rPr>
          <w:rFonts w:ascii="Times New Roman" w:hAnsi="Times New Roman" w:cs="Times New Roman"/>
          <w:sz w:val="24"/>
          <w:szCs w:val="24"/>
        </w:rPr>
        <w:t xml:space="preserve">Also, </w:t>
      </w:r>
      <w:r w:rsidR="0052683E" w:rsidRPr="0052683E">
        <w:rPr>
          <w:rFonts w:ascii="Times New Roman" w:hAnsi="Times New Roman" w:cs="Times New Roman"/>
          <w:sz w:val="24"/>
          <w:szCs w:val="24"/>
        </w:rPr>
        <w:t xml:space="preserve">Eaton and </w:t>
      </w:r>
      <w:proofErr w:type="spellStart"/>
      <w:r w:rsidR="0052683E" w:rsidRPr="0052683E">
        <w:rPr>
          <w:rFonts w:ascii="Times New Roman" w:hAnsi="Times New Roman" w:cs="Times New Roman"/>
          <w:sz w:val="24"/>
          <w:szCs w:val="24"/>
        </w:rPr>
        <w:t>Nofsinger</w:t>
      </w:r>
      <w:proofErr w:type="spellEnd"/>
      <w:r w:rsidR="0052683E" w:rsidRPr="0052683E">
        <w:rPr>
          <w:rFonts w:ascii="Times New Roman" w:hAnsi="Times New Roman" w:cs="Times New Roman"/>
          <w:sz w:val="24"/>
          <w:szCs w:val="24"/>
        </w:rPr>
        <w:t xml:space="preserve"> (2004) f</w:t>
      </w:r>
      <w:r w:rsidR="00A41A43">
        <w:rPr>
          <w:rFonts w:ascii="Times New Roman" w:hAnsi="Times New Roman" w:cs="Times New Roman"/>
          <w:sz w:val="24"/>
          <w:szCs w:val="24"/>
        </w:rPr>
        <w:t>ou</w:t>
      </w:r>
      <w:r w:rsidR="0052683E" w:rsidRPr="0052683E">
        <w:rPr>
          <w:rFonts w:ascii="Times New Roman" w:hAnsi="Times New Roman" w:cs="Times New Roman"/>
          <w:sz w:val="24"/>
          <w:szCs w:val="24"/>
        </w:rPr>
        <w:t xml:space="preserve">nd that </w:t>
      </w:r>
      <w:r w:rsidR="009A7A89">
        <w:rPr>
          <w:rFonts w:ascii="Times New Roman" w:hAnsi="Times New Roman" w:cs="Times New Roman"/>
          <w:sz w:val="24"/>
          <w:szCs w:val="24"/>
        </w:rPr>
        <w:t xml:space="preserve">governments </w:t>
      </w:r>
      <w:r w:rsidR="0052683E" w:rsidRPr="0052683E">
        <w:rPr>
          <w:rFonts w:ascii="Times New Roman" w:hAnsi="Times New Roman" w:cs="Times New Roman"/>
          <w:sz w:val="24"/>
          <w:szCs w:val="24"/>
        </w:rPr>
        <w:t>under political pressure and fiscal constraints, decrease</w:t>
      </w:r>
      <w:r w:rsidR="00BD3023">
        <w:rPr>
          <w:rFonts w:ascii="Times New Roman" w:hAnsi="Times New Roman" w:cs="Times New Roman"/>
          <w:sz w:val="24"/>
          <w:szCs w:val="24"/>
        </w:rPr>
        <w:t>d</w:t>
      </w:r>
      <w:r w:rsidR="00A41A43">
        <w:rPr>
          <w:rFonts w:ascii="Times New Roman" w:hAnsi="Times New Roman" w:cs="Times New Roman"/>
          <w:sz w:val="24"/>
          <w:szCs w:val="24"/>
        </w:rPr>
        <w:t xml:space="preserve"> their</w:t>
      </w:r>
      <w:r w:rsidR="0052683E" w:rsidRPr="0052683E">
        <w:rPr>
          <w:rFonts w:ascii="Times New Roman" w:hAnsi="Times New Roman" w:cs="Times New Roman"/>
          <w:sz w:val="24"/>
          <w:szCs w:val="24"/>
        </w:rPr>
        <w:t xml:space="preserve"> salary growth rate</w:t>
      </w:r>
      <w:r w:rsidR="00A41A43">
        <w:rPr>
          <w:rFonts w:ascii="Times New Roman" w:hAnsi="Times New Roman" w:cs="Times New Roman"/>
          <w:sz w:val="24"/>
          <w:szCs w:val="24"/>
        </w:rPr>
        <w:t xml:space="preserve"> assumption</w:t>
      </w:r>
      <w:r w:rsidR="00BD3023">
        <w:rPr>
          <w:rFonts w:ascii="Times New Roman" w:hAnsi="Times New Roman" w:cs="Times New Roman"/>
          <w:sz w:val="24"/>
          <w:szCs w:val="24"/>
        </w:rPr>
        <w:t>s</w:t>
      </w:r>
      <w:r w:rsidR="0052683E" w:rsidRPr="0052683E">
        <w:rPr>
          <w:rFonts w:ascii="Times New Roman" w:hAnsi="Times New Roman" w:cs="Times New Roman"/>
          <w:sz w:val="24"/>
          <w:szCs w:val="24"/>
        </w:rPr>
        <w:t>, increase</w:t>
      </w:r>
      <w:r w:rsidR="00A41A43">
        <w:rPr>
          <w:rFonts w:ascii="Times New Roman" w:hAnsi="Times New Roman" w:cs="Times New Roman"/>
          <w:sz w:val="24"/>
          <w:szCs w:val="24"/>
        </w:rPr>
        <w:t>d their</w:t>
      </w:r>
      <w:r w:rsidR="0052683E" w:rsidRPr="0052683E">
        <w:rPr>
          <w:rFonts w:ascii="Times New Roman" w:hAnsi="Times New Roman" w:cs="Times New Roman"/>
          <w:sz w:val="24"/>
          <w:szCs w:val="24"/>
        </w:rPr>
        <w:t xml:space="preserve"> amortization period</w:t>
      </w:r>
      <w:r w:rsidR="00BD3023">
        <w:rPr>
          <w:rFonts w:ascii="Times New Roman" w:hAnsi="Times New Roman" w:cs="Times New Roman"/>
          <w:sz w:val="24"/>
          <w:szCs w:val="24"/>
        </w:rPr>
        <w:t>s</w:t>
      </w:r>
      <w:r w:rsidR="0052683E" w:rsidRPr="0052683E">
        <w:rPr>
          <w:rFonts w:ascii="Times New Roman" w:hAnsi="Times New Roman" w:cs="Times New Roman"/>
          <w:sz w:val="24"/>
          <w:szCs w:val="24"/>
        </w:rPr>
        <w:t>, and increase</w:t>
      </w:r>
      <w:r w:rsidR="00A41A43">
        <w:rPr>
          <w:rFonts w:ascii="Times New Roman" w:hAnsi="Times New Roman" w:cs="Times New Roman"/>
          <w:sz w:val="24"/>
          <w:szCs w:val="24"/>
        </w:rPr>
        <w:t>d</w:t>
      </w:r>
      <w:r w:rsidR="0052683E" w:rsidRPr="0052683E">
        <w:rPr>
          <w:rFonts w:ascii="Times New Roman" w:hAnsi="Times New Roman" w:cs="Times New Roman"/>
          <w:sz w:val="24"/>
          <w:szCs w:val="24"/>
        </w:rPr>
        <w:t xml:space="preserve"> the</w:t>
      </w:r>
      <w:r w:rsidR="00A41A43">
        <w:rPr>
          <w:rFonts w:ascii="Times New Roman" w:hAnsi="Times New Roman" w:cs="Times New Roman"/>
          <w:sz w:val="24"/>
          <w:szCs w:val="24"/>
        </w:rPr>
        <w:t>ir</w:t>
      </w:r>
      <w:r w:rsidR="0052683E" w:rsidRPr="0052683E">
        <w:rPr>
          <w:rFonts w:ascii="Times New Roman" w:hAnsi="Times New Roman" w:cs="Times New Roman"/>
          <w:sz w:val="24"/>
          <w:szCs w:val="24"/>
        </w:rPr>
        <w:t xml:space="preserve"> </w:t>
      </w:r>
      <w:r w:rsidR="00A41A43">
        <w:rPr>
          <w:rFonts w:ascii="Times New Roman" w:hAnsi="Times New Roman" w:cs="Times New Roman"/>
          <w:sz w:val="24"/>
          <w:szCs w:val="24"/>
        </w:rPr>
        <w:t>discount rate</w:t>
      </w:r>
      <w:r w:rsidR="00BD3023">
        <w:rPr>
          <w:rFonts w:ascii="Times New Roman" w:hAnsi="Times New Roman" w:cs="Times New Roman"/>
          <w:sz w:val="24"/>
          <w:szCs w:val="24"/>
        </w:rPr>
        <w:t>s</w:t>
      </w:r>
      <w:r w:rsidR="0052683E" w:rsidRPr="0052683E">
        <w:rPr>
          <w:rFonts w:ascii="Times New Roman" w:hAnsi="Times New Roman" w:cs="Times New Roman"/>
          <w:sz w:val="24"/>
          <w:szCs w:val="24"/>
        </w:rPr>
        <w:t>.</w:t>
      </w:r>
      <w:r w:rsidR="0052683E">
        <w:rPr>
          <w:rFonts w:ascii="Times New Roman" w:hAnsi="Times New Roman" w:cs="Times New Roman"/>
          <w:sz w:val="24"/>
          <w:szCs w:val="24"/>
        </w:rPr>
        <w:t xml:space="preserve"> </w:t>
      </w:r>
      <w:r w:rsidR="0058271C">
        <w:rPr>
          <w:rFonts w:ascii="Times New Roman" w:hAnsi="Times New Roman" w:cs="Times New Roman"/>
          <w:sz w:val="24"/>
          <w:szCs w:val="24"/>
        </w:rPr>
        <w:t xml:space="preserve">And, </w:t>
      </w:r>
      <w:r w:rsidR="0052683E" w:rsidRPr="0052683E">
        <w:rPr>
          <w:rFonts w:ascii="Times New Roman" w:hAnsi="Times New Roman" w:cs="Times New Roman"/>
          <w:sz w:val="24"/>
          <w:szCs w:val="24"/>
        </w:rPr>
        <w:t>Chaney et al. (2002) f</w:t>
      </w:r>
      <w:r w:rsidR="00A41A43">
        <w:rPr>
          <w:rFonts w:ascii="Times New Roman" w:hAnsi="Times New Roman" w:cs="Times New Roman"/>
          <w:sz w:val="24"/>
          <w:szCs w:val="24"/>
        </w:rPr>
        <w:t>oun</w:t>
      </w:r>
      <w:r w:rsidR="0052683E" w:rsidRPr="0052683E">
        <w:rPr>
          <w:rFonts w:ascii="Times New Roman" w:hAnsi="Times New Roman" w:cs="Times New Roman"/>
          <w:sz w:val="24"/>
          <w:szCs w:val="24"/>
        </w:rPr>
        <w:t>d that states with balanced budget requirements increase</w:t>
      </w:r>
      <w:r w:rsidR="00A41A43">
        <w:rPr>
          <w:rFonts w:ascii="Times New Roman" w:hAnsi="Times New Roman" w:cs="Times New Roman"/>
          <w:sz w:val="24"/>
          <w:szCs w:val="24"/>
        </w:rPr>
        <w:t>d</w:t>
      </w:r>
      <w:r w:rsidR="0052683E" w:rsidRPr="0052683E">
        <w:rPr>
          <w:rFonts w:ascii="Times New Roman" w:hAnsi="Times New Roman" w:cs="Times New Roman"/>
          <w:sz w:val="24"/>
          <w:szCs w:val="24"/>
        </w:rPr>
        <w:t xml:space="preserve"> the</w:t>
      </w:r>
      <w:r w:rsidR="00A41A43">
        <w:rPr>
          <w:rFonts w:ascii="Times New Roman" w:hAnsi="Times New Roman" w:cs="Times New Roman"/>
          <w:sz w:val="24"/>
          <w:szCs w:val="24"/>
        </w:rPr>
        <w:t>ir</w:t>
      </w:r>
      <w:r w:rsidR="0052683E" w:rsidRPr="0052683E">
        <w:rPr>
          <w:rFonts w:ascii="Times New Roman" w:hAnsi="Times New Roman" w:cs="Times New Roman"/>
          <w:sz w:val="24"/>
          <w:szCs w:val="24"/>
        </w:rPr>
        <w:t xml:space="preserve"> </w:t>
      </w:r>
      <w:r w:rsidR="00A41A43">
        <w:rPr>
          <w:rFonts w:ascii="Times New Roman" w:hAnsi="Times New Roman" w:cs="Times New Roman"/>
          <w:sz w:val="24"/>
          <w:szCs w:val="24"/>
        </w:rPr>
        <w:t>discount rate</w:t>
      </w:r>
      <w:r w:rsidR="00BD3023">
        <w:rPr>
          <w:rFonts w:ascii="Times New Roman" w:hAnsi="Times New Roman" w:cs="Times New Roman"/>
          <w:sz w:val="24"/>
          <w:szCs w:val="24"/>
        </w:rPr>
        <w:t>s</w:t>
      </w:r>
      <w:r w:rsidR="0052683E" w:rsidRPr="0052683E">
        <w:rPr>
          <w:rFonts w:ascii="Times New Roman" w:hAnsi="Times New Roman" w:cs="Times New Roman"/>
          <w:sz w:val="24"/>
          <w:szCs w:val="24"/>
        </w:rPr>
        <w:t xml:space="preserve"> when </w:t>
      </w:r>
      <w:r w:rsidR="009A7A89">
        <w:rPr>
          <w:rFonts w:ascii="Times New Roman" w:hAnsi="Times New Roman" w:cs="Times New Roman"/>
          <w:sz w:val="24"/>
          <w:szCs w:val="24"/>
        </w:rPr>
        <w:t>facing</w:t>
      </w:r>
      <w:r w:rsidR="0052683E" w:rsidRPr="0052683E">
        <w:rPr>
          <w:rFonts w:ascii="Times New Roman" w:hAnsi="Times New Roman" w:cs="Times New Roman"/>
          <w:sz w:val="24"/>
          <w:szCs w:val="24"/>
        </w:rPr>
        <w:t xml:space="preserve"> fiscal stress.</w:t>
      </w:r>
    </w:p>
    <w:p w14:paraId="20AC7C78" w14:textId="00385C3C" w:rsidR="00A41A43" w:rsidRDefault="009522A9" w:rsidP="00663DD8">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DD5B7E">
        <w:rPr>
          <w:rFonts w:ascii="Times New Roman" w:hAnsi="Times New Roman" w:cs="Times New Roman"/>
          <w:sz w:val="24"/>
          <w:szCs w:val="24"/>
        </w:rPr>
        <w:t xml:space="preserve">Anecdotal evidence </w:t>
      </w:r>
      <w:r w:rsidR="00625371">
        <w:rPr>
          <w:rFonts w:ascii="Times New Roman" w:hAnsi="Times New Roman" w:cs="Times New Roman"/>
          <w:sz w:val="24"/>
          <w:szCs w:val="24"/>
        </w:rPr>
        <w:t>support</w:t>
      </w:r>
      <w:r w:rsidR="007569B1">
        <w:rPr>
          <w:rFonts w:ascii="Times New Roman" w:hAnsi="Times New Roman" w:cs="Times New Roman"/>
          <w:sz w:val="24"/>
          <w:szCs w:val="24"/>
        </w:rPr>
        <w:t>s</w:t>
      </w:r>
      <w:r w:rsidR="00625371">
        <w:rPr>
          <w:rFonts w:ascii="Times New Roman" w:hAnsi="Times New Roman" w:cs="Times New Roman"/>
          <w:sz w:val="24"/>
          <w:szCs w:val="24"/>
        </w:rPr>
        <w:t xml:space="preserve"> claims that </w:t>
      </w:r>
      <w:r w:rsidR="00DE31EC">
        <w:rPr>
          <w:rFonts w:ascii="Times New Roman" w:hAnsi="Times New Roman" w:cs="Times New Roman"/>
          <w:sz w:val="24"/>
          <w:szCs w:val="24"/>
        </w:rPr>
        <w:t xml:space="preserve">actuarial assumptions </w:t>
      </w:r>
      <w:r w:rsidR="00625371">
        <w:rPr>
          <w:rFonts w:ascii="Times New Roman" w:hAnsi="Times New Roman" w:cs="Times New Roman"/>
          <w:sz w:val="24"/>
          <w:szCs w:val="24"/>
        </w:rPr>
        <w:t xml:space="preserve">are </w:t>
      </w:r>
      <w:r w:rsidR="007569B1">
        <w:rPr>
          <w:rFonts w:ascii="Times New Roman" w:hAnsi="Times New Roman" w:cs="Times New Roman"/>
          <w:sz w:val="24"/>
          <w:szCs w:val="24"/>
        </w:rPr>
        <w:t xml:space="preserve">sometimes </w:t>
      </w:r>
      <w:r w:rsidR="00625371">
        <w:rPr>
          <w:rFonts w:ascii="Times New Roman" w:hAnsi="Times New Roman" w:cs="Times New Roman"/>
          <w:sz w:val="24"/>
          <w:szCs w:val="24"/>
        </w:rPr>
        <w:t xml:space="preserve">changed </w:t>
      </w:r>
      <w:r w:rsidR="00DE31EC">
        <w:rPr>
          <w:rFonts w:ascii="Times New Roman" w:hAnsi="Times New Roman" w:cs="Times New Roman"/>
          <w:sz w:val="24"/>
          <w:szCs w:val="24"/>
        </w:rPr>
        <w:t xml:space="preserve">in order to </w:t>
      </w:r>
      <w:r w:rsidR="009A7A89">
        <w:rPr>
          <w:rFonts w:ascii="Times New Roman" w:hAnsi="Times New Roman" w:cs="Times New Roman"/>
          <w:sz w:val="24"/>
          <w:szCs w:val="24"/>
        </w:rPr>
        <w:t>improve</w:t>
      </w:r>
      <w:r w:rsidR="00625371">
        <w:rPr>
          <w:rFonts w:ascii="Times New Roman" w:hAnsi="Times New Roman" w:cs="Times New Roman"/>
          <w:sz w:val="24"/>
          <w:szCs w:val="24"/>
        </w:rPr>
        <w:t xml:space="preserve"> short-term </w:t>
      </w:r>
      <w:r w:rsidR="0058271C">
        <w:rPr>
          <w:rFonts w:ascii="Times New Roman" w:hAnsi="Times New Roman" w:cs="Times New Roman"/>
          <w:sz w:val="24"/>
          <w:szCs w:val="24"/>
        </w:rPr>
        <w:t>fiscal</w:t>
      </w:r>
      <w:r w:rsidR="00625371">
        <w:rPr>
          <w:rFonts w:ascii="Times New Roman" w:hAnsi="Times New Roman" w:cs="Times New Roman"/>
          <w:sz w:val="24"/>
          <w:szCs w:val="24"/>
        </w:rPr>
        <w:t xml:space="preserve"> </w:t>
      </w:r>
      <w:r w:rsidR="00A41A43">
        <w:rPr>
          <w:rFonts w:ascii="Times New Roman" w:hAnsi="Times New Roman" w:cs="Times New Roman"/>
          <w:sz w:val="24"/>
          <w:szCs w:val="24"/>
        </w:rPr>
        <w:t xml:space="preserve">and political </w:t>
      </w:r>
      <w:r w:rsidR="00625371">
        <w:rPr>
          <w:rFonts w:ascii="Times New Roman" w:hAnsi="Times New Roman" w:cs="Times New Roman"/>
          <w:sz w:val="24"/>
          <w:szCs w:val="24"/>
        </w:rPr>
        <w:t>conditions</w:t>
      </w:r>
      <w:r w:rsidR="00DE31EC">
        <w:rPr>
          <w:rFonts w:ascii="Times New Roman" w:hAnsi="Times New Roman" w:cs="Times New Roman"/>
          <w:sz w:val="24"/>
          <w:szCs w:val="24"/>
        </w:rPr>
        <w:t xml:space="preserve">. </w:t>
      </w:r>
      <w:r w:rsidR="00625371">
        <w:rPr>
          <w:rFonts w:ascii="Times New Roman" w:hAnsi="Times New Roman" w:cs="Times New Roman"/>
          <w:sz w:val="24"/>
          <w:szCs w:val="24"/>
        </w:rPr>
        <w:t>I</w:t>
      </w:r>
      <w:r w:rsidR="00DE31EC">
        <w:rPr>
          <w:rFonts w:ascii="Times New Roman" w:hAnsi="Times New Roman" w:cs="Times New Roman"/>
          <w:sz w:val="24"/>
          <w:szCs w:val="24"/>
        </w:rPr>
        <w:t xml:space="preserve">n </w:t>
      </w:r>
      <w:r w:rsidR="00BD3023">
        <w:rPr>
          <w:rFonts w:ascii="Times New Roman" w:hAnsi="Times New Roman" w:cs="Times New Roman"/>
          <w:sz w:val="24"/>
          <w:szCs w:val="24"/>
        </w:rPr>
        <w:t xml:space="preserve">response to a fiscal crisis in the early 1990s, the State of </w:t>
      </w:r>
      <w:r w:rsidR="00DE31EC">
        <w:rPr>
          <w:rFonts w:ascii="Times New Roman" w:hAnsi="Times New Roman" w:cs="Times New Roman"/>
          <w:sz w:val="24"/>
          <w:szCs w:val="24"/>
        </w:rPr>
        <w:t xml:space="preserve">New York changed </w:t>
      </w:r>
      <w:r w:rsidR="0098612E">
        <w:rPr>
          <w:rFonts w:ascii="Times New Roman" w:hAnsi="Times New Roman" w:cs="Times New Roman"/>
          <w:sz w:val="24"/>
          <w:szCs w:val="24"/>
        </w:rPr>
        <w:t xml:space="preserve">their method </w:t>
      </w:r>
      <w:r w:rsidR="004131AD">
        <w:rPr>
          <w:rFonts w:ascii="Times New Roman" w:hAnsi="Times New Roman" w:cs="Times New Roman"/>
          <w:sz w:val="24"/>
          <w:szCs w:val="24"/>
        </w:rPr>
        <w:t xml:space="preserve">of </w:t>
      </w:r>
      <w:r w:rsidR="0098612E">
        <w:rPr>
          <w:rFonts w:ascii="Times New Roman" w:hAnsi="Times New Roman" w:cs="Times New Roman"/>
          <w:sz w:val="24"/>
          <w:szCs w:val="24"/>
        </w:rPr>
        <w:t>allocating the costs of pension obligations</w:t>
      </w:r>
      <w:r w:rsidR="00D0442B">
        <w:rPr>
          <w:rFonts w:ascii="Times New Roman" w:hAnsi="Times New Roman" w:cs="Times New Roman"/>
          <w:sz w:val="24"/>
          <w:szCs w:val="24"/>
        </w:rPr>
        <w:t xml:space="preserve"> </w:t>
      </w:r>
      <w:r w:rsidR="00DE31EC">
        <w:rPr>
          <w:rFonts w:ascii="Times New Roman" w:hAnsi="Times New Roman" w:cs="Times New Roman"/>
          <w:sz w:val="24"/>
          <w:szCs w:val="24"/>
        </w:rPr>
        <w:t>(</w:t>
      </w:r>
      <w:r w:rsidR="00013013">
        <w:rPr>
          <w:rFonts w:ascii="Times New Roman" w:hAnsi="Times New Roman" w:cs="Times New Roman"/>
          <w:sz w:val="24"/>
          <w:szCs w:val="24"/>
        </w:rPr>
        <w:t>Bentley 2009</w:t>
      </w:r>
      <w:r w:rsidR="00DE31EC">
        <w:rPr>
          <w:rFonts w:ascii="Times New Roman" w:hAnsi="Times New Roman" w:cs="Times New Roman"/>
          <w:sz w:val="24"/>
          <w:szCs w:val="24"/>
        </w:rPr>
        <w:t xml:space="preserve">). </w:t>
      </w:r>
      <w:r w:rsidR="009A7A89">
        <w:rPr>
          <w:rFonts w:ascii="Times New Roman" w:hAnsi="Times New Roman" w:cs="Times New Roman"/>
          <w:sz w:val="24"/>
          <w:szCs w:val="24"/>
        </w:rPr>
        <w:t>New York's p</w:t>
      </w:r>
      <w:r w:rsidR="00A41A43">
        <w:rPr>
          <w:rFonts w:ascii="Times New Roman" w:hAnsi="Times New Roman" w:cs="Times New Roman"/>
          <w:sz w:val="24"/>
          <w:szCs w:val="24"/>
        </w:rPr>
        <w:t>ublic employees challenge</w:t>
      </w:r>
      <w:r w:rsidR="009A7A89">
        <w:rPr>
          <w:rFonts w:ascii="Times New Roman" w:hAnsi="Times New Roman" w:cs="Times New Roman"/>
          <w:sz w:val="24"/>
          <w:szCs w:val="24"/>
        </w:rPr>
        <w:t>d</w:t>
      </w:r>
      <w:r w:rsidR="00A41A43">
        <w:rPr>
          <w:rFonts w:ascii="Times New Roman" w:hAnsi="Times New Roman" w:cs="Times New Roman"/>
          <w:sz w:val="24"/>
          <w:szCs w:val="24"/>
        </w:rPr>
        <w:t xml:space="preserve"> that </w:t>
      </w:r>
      <w:r w:rsidR="00BD3023">
        <w:rPr>
          <w:rFonts w:ascii="Times New Roman" w:hAnsi="Times New Roman" w:cs="Times New Roman"/>
          <w:sz w:val="24"/>
          <w:szCs w:val="24"/>
        </w:rPr>
        <w:t>decision</w:t>
      </w:r>
      <w:r w:rsidR="00A41A43">
        <w:rPr>
          <w:rFonts w:ascii="Times New Roman" w:hAnsi="Times New Roman" w:cs="Times New Roman"/>
          <w:sz w:val="24"/>
          <w:szCs w:val="24"/>
        </w:rPr>
        <w:t xml:space="preserve">, and the </w:t>
      </w:r>
      <w:r w:rsidR="00DE31EC">
        <w:rPr>
          <w:rFonts w:ascii="Times New Roman" w:hAnsi="Times New Roman" w:cs="Times New Roman"/>
          <w:sz w:val="24"/>
          <w:szCs w:val="24"/>
        </w:rPr>
        <w:t xml:space="preserve">court ruled </w:t>
      </w:r>
      <w:r w:rsidR="00625371">
        <w:rPr>
          <w:rFonts w:ascii="Times New Roman" w:hAnsi="Times New Roman" w:cs="Times New Roman"/>
          <w:sz w:val="24"/>
          <w:szCs w:val="24"/>
        </w:rPr>
        <w:t>against the state</w:t>
      </w:r>
      <w:r w:rsidR="00A41A43">
        <w:rPr>
          <w:rFonts w:ascii="Times New Roman" w:hAnsi="Times New Roman" w:cs="Times New Roman"/>
          <w:sz w:val="24"/>
          <w:szCs w:val="24"/>
        </w:rPr>
        <w:t>, deciding that the</w:t>
      </w:r>
      <w:r w:rsidR="00A321DB">
        <w:rPr>
          <w:rFonts w:ascii="Times New Roman" w:hAnsi="Times New Roman" w:cs="Times New Roman"/>
          <w:sz w:val="24"/>
          <w:szCs w:val="24"/>
        </w:rPr>
        <w:t xml:space="preserve"> change was </w:t>
      </w:r>
      <w:r w:rsidR="007569B1">
        <w:rPr>
          <w:rFonts w:ascii="Times New Roman" w:hAnsi="Times New Roman" w:cs="Times New Roman"/>
          <w:sz w:val="24"/>
          <w:szCs w:val="24"/>
        </w:rPr>
        <w:t xml:space="preserve">not intended </w:t>
      </w:r>
      <w:r w:rsidR="00A321DB">
        <w:rPr>
          <w:rFonts w:ascii="Times New Roman" w:hAnsi="Times New Roman" w:cs="Times New Roman"/>
          <w:sz w:val="24"/>
          <w:szCs w:val="24"/>
        </w:rPr>
        <w:t>“</w:t>
      </w:r>
      <w:r w:rsidR="00A321DB" w:rsidRPr="00A321DB">
        <w:rPr>
          <w:rFonts w:ascii="Times New Roman" w:hAnsi="Times New Roman" w:cs="Times New Roman"/>
          <w:sz w:val="24"/>
          <w:szCs w:val="24"/>
        </w:rPr>
        <w:t>to protect the retirement funds earned by members and beneficiaries of the system but to deal with the budget crises being experienced by governmental entities in New York State</w:t>
      </w:r>
      <w:r w:rsidR="00A321DB">
        <w:rPr>
          <w:rFonts w:ascii="Times New Roman" w:hAnsi="Times New Roman" w:cs="Times New Roman"/>
          <w:sz w:val="24"/>
          <w:szCs w:val="24"/>
        </w:rPr>
        <w:t>.”</w:t>
      </w:r>
      <w:r w:rsidR="00625371">
        <w:rPr>
          <w:rFonts w:ascii="Times New Roman" w:hAnsi="Times New Roman" w:cs="Times New Roman"/>
          <w:sz w:val="24"/>
          <w:szCs w:val="24"/>
        </w:rPr>
        <w:t xml:space="preserve"> </w:t>
      </w:r>
      <w:r w:rsidR="00DE31EC">
        <w:rPr>
          <w:rFonts w:ascii="Times New Roman" w:hAnsi="Times New Roman" w:cs="Times New Roman"/>
          <w:sz w:val="24"/>
          <w:szCs w:val="24"/>
        </w:rPr>
        <w:t>(</w:t>
      </w:r>
      <w:r w:rsidR="00DE31EC" w:rsidRPr="00763A00">
        <w:rPr>
          <w:rFonts w:ascii="Times New Roman" w:hAnsi="Times New Roman" w:cs="Times New Roman"/>
          <w:sz w:val="24"/>
          <w:szCs w:val="24"/>
        </w:rPr>
        <w:t>McDermott v. Regan 1993</w:t>
      </w:r>
      <w:r w:rsidR="00DE31EC">
        <w:rPr>
          <w:rFonts w:ascii="Times New Roman" w:hAnsi="Times New Roman" w:cs="Times New Roman"/>
          <w:sz w:val="24"/>
          <w:szCs w:val="24"/>
        </w:rPr>
        <w:t>).</w:t>
      </w:r>
      <w:r w:rsidR="00A321DB">
        <w:rPr>
          <w:rFonts w:ascii="Times New Roman" w:hAnsi="Times New Roman" w:cs="Times New Roman"/>
          <w:sz w:val="24"/>
          <w:szCs w:val="24"/>
        </w:rPr>
        <w:t xml:space="preserve"> </w:t>
      </w:r>
      <w:r w:rsidR="00DE31EC">
        <w:rPr>
          <w:rFonts w:ascii="Times New Roman" w:hAnsi="Times New Roman" w:cs="Times New Roman"/>
          <w:sz w:val="24"/>
          <w:szCs w:val="24"/>
        </w:rPr>
        <w:t xml:space="preserve">In 2009, </w:t>
      </w:r>
      <w:r w:rsidR="00DE31EC">
        <w:rPr>
          <w:rFonts w:ascii="Times New Roman" w:hAnsi="Times New Roman" w:cs="Times New Roman"/>
          <w:sz w:val="24"/>
          <w:szCs w:val="24"/>
        </w:rPr>
        <w:lastRenderedPageBreak/>
        <w:t xml:space="preserve">the City of Philadelphia announced a plan to reduce </w:t>
      </w:r>
      <w:r w:rsidR="00BD3023">
        <w:rPr>
          <w:rFonts w:ascii="Times New Roman" w:hAnsi="Times New Roman" w:cs="Times New Roman"/>
          <w:sz w:val="24"/>
          <w:szCs w:val="24"/>
        </w:rPr>
        <w:t>its</w:t>
      </w:r>
      <w:r w:rsidR="00DE31EC">
        <w:rPr>
          <w:rFonts w:ascii="Times New Roman" w:hAnsi="Times New Roman" w:cs="Times New Roman"/>
          <w:sz w:val="24"/>
          <w:szCs w:val="24"/>
        </w:rPr>
        <w:t xml:space="preserve"> </w:t>
      </w:r>
      <w:r w:rsidR="0098612E">
        <w:rPr>
          <w:rFonts w:ascii="Times New Roman" w:hAnsi="Times New Roman" w:cs="Times New Roman"/>
          <w:sz w:val="24"/>
          <w:szCs w:val="24"/>
        </w:rPr>
        <w:t>ARC</w:t>
      </w:r>
      <w:r w:rsidR="00DE31EC">
        <w:rPr>
          <w:rFonts w:ascii="Times New Roman" w:hAnsi="Times New Roman" w:cs="Times New Roman"/>
          <w:sz w:val="24"/>
          <w:szCs w:val="24"/>
        </w:rPr>
        <w:t xml:space="preserve"> by $170 million</w:t>
      </w:r>
      <w:r w:rsidR="00A32048">
        <w:rPr>
          <w:rFonts w:ascii="Times New Roman" w:hAnsi="Times New Roman" w:cs="Times New Roman"/>
          <w:sz w:val="24"/>
          <w:szCs w:val="24"/>
        </w:rPr>
        <w:t xml:space="preserve"> by </w:t>
      </w:r>
      <w:r w:rsidR="00DE31EC">
        <w:rPr>
          <w:rFonts w:ascii="Times New Roman" w:hAnsi="Times New Roman" w:cs="Times New Roman"/>
          <w:sz w:val="24"/>
          <w:szCs w:val="24"/>
        </w:rPr>
        <w:t xml:space="preserve">increasing </w:t>
      </w:r>
      <w:r w:rsidR="00BD3023">
        <w:rPr>
          <w:rFonts w:ascii="Times New Roman" w:hAnsi="Times New Roman" w:cs="Times New Roman"/>
          <w:sz w:val="24"/>
          <w:szCs w:val="24"/>
        </w:rPr>
        <w:t>its</w:t>
      </w:r>
      <w:r w:rsidR="00DE31EC">
        <w:rPr>
          <w:rFonts w:ascii="Times New Roman" w:hAnsi="Times New Roman" w:cs="Times New Roman"/>
          <w:sz w:val="24"/>
          <w:szCs w:val="24"/>
        </w:rPr>
        <w:t xml:space="preserve"> amortization period from 20 to 40 years</w:t>
      </w:r>
      <w:r w:rsidR="00DD5B7E">
        <w:rPr>
          <w:rFonts w:ascii="Times New Roman" w:hAnsi="Times New Roman" w:cs="Times New Roman"/>
          <w:sz w:val="24"/>
          <w:szCs w:val="24"/>
        </w:rPr>
        <w:t xml:space="preserve"> </w:t>
      </w:r>
      <w:r w:rsidR="00681D33">
        <w:rPr>
          <w:rFonts w:ascii="Times New Roman" w:hAnsi="Times New Roman" w:cs="Times New Roman"/>
          <w:sz w:val="24"/>
          <w:szCs w:val="24"/>
        </w:rPr>
        <w:t>(Lucey 2009).</w:t>
      </w:r>
      <w:r w:rsidR="00DE31EC">
        <w:rPr>
          <w:rFonts w:ascii="Times New Roman" w:hAnsi="Times New Roman" w:cs="Times New Roman"/>
          <w:sz w:val="24"/>
          <w:szCs w:val="24"/>
        </w:rPr>
        <w:t xml:space="preserve"> </w:t>
      </w:r>
      <w:r w:rsidR="0058271C">
        <w:rPr>
          <w:rFonts w:ascii="Times New Roman" w:hAnsi="Times New Roman" w:cs="Times New Roman"/>
          <w:sz w:val="24"/>
          <w:szCs w:val="24"/>
        </w:rPr>
        <w:t>And</w:t>
      </w:r>
      <w:r w:rsidR="00A41A43">
        <w:rPr>
          <w:rFonts w:ascii="Times New Roman" w:hAnsi="Times New Roman" w:cs="Times New Roman"/>
          <w:sz w:val="24"/>
          <w:szCs w:val="24"/>
        </w:rPr>
        <w:t>, a member of the Montana Board of Investments cited significant g</w:t>
      </w:r>
      <w:r w:rsidR="00BD3023">
        <w:rPr>
          <w:rFonts w:ascii="Times New Roman" w:hAnsi="Times New Roman" w:cs="Times New Roman"/>
          <w:sz w:val="24"/>
          <w:szCs w:val="24"/>
        </w:rPr>
        <w:t xml:space="preserve">ubernatorial pressure </w:t>
      </w:r>
      <w:r w:rsidR="0058271C">
        <w:rPr>
          <w:rFonts w:ascii="Times New Roman" w:hAnsi="Times New Roman" w:cs="Times New Roman"/>
          <w:sz w:val="24"/>
          <w:szCs w:val="24"/>
        </w:rPr>
        <w:t xml:space="preserve">as a reason why </w:t>
      </w:r>
      <w:r w:rsidR="00BD3023">
        <w:rPr>
          <w:rFonts w:ascii="Times New Roman" w:hAnsi="Times New Roman" w:cs="Times New Roman"/>
          <w:sz w:val="24"/>
          <w:szCs w:val="24"/>
        </w:rPr>
        <w:t>the</w:t>
      </w:r>
      <w:r w:rsidR="009A7A89">
        <w:rPr>
          <w:rFonts w:ascii="Times New Roman" w:hAnsi="Times New Roman" w:cs="Times New Roman"/>
          <w:sz w:val="24"/>
          <w:szCs w:val="24"/>
        </w:rPr>
        <w:t xml:space="preserve"> B</w:t>
      </w:r>
      <w:r w:rsidR="0058271C">
        <w:rPr>
          <w:rFonts w:ascii="Times New Roman" w:hAnsi="Times New Roman" w:cs="Times New Roman"/>
          <w:sz w:val="24"/>
          <w:szCs w:val="24"/>
        </w:rPr>
        <w:t xml:space="preserve">oard reversed its decision </w:t>
      </w:r>
      <w:r w:rsidR="00A41A43">
        <w:rPr>
          <w:rFonts w:ascii="Times New Roman" w:hAnsi="Times New Roman" w:cs="Times New Roman"/>
          <w:sz w:val="24"/>
          <w:szCs w:val="24"/>
        </w:rPr>
        <w:t xml:space="preserve">to reduce </w:t>
      </w:r>
      <w:r w:rsidR="00EA1B2B">
        <w:rPr>
          <w:rFonts w:ascii="Times New Roman" w:hAnsi="Times New Roman" w:cs="Times New Roman"/>
          <w:sz w:val="24"/>
          <w:szCs w:val="24"/>
        </w:rPr>
        <w:t xml:space="preserve">the </w:t>
      </w:r>
      <w:r w:rsidR="009A7A89">
        <w:rPr>
          <w:rFonts w:ascii="Times New Roman" w:hAnsi="Times New Roman" w:cs="Times New Roman"/>
          <w:sz w:val="24"/>
          <w:szCs w:val="24"/>
        </w:rPr>
        <w:t xml:space="preserve">Montana Public Employees Retirement Systems' </w:t>
      </w:r>
      <w:r w:rsidR="00A41A43">
        <w:rPr>
          <w:rFonts w:ascii="Times New Roman" w:hAnsi="Times New Roman" w:cs="Times New Roman"/>
          <w:sz w:val="24"/>
          <w:szCs w:val="24"/>
        </w:rPr>
        <w:t>discount rate</w:t>
      </w:r>
      <w:r w:rsidR="00BD3023">
        <w:rPr>
          <w:rFonts w:ascii="Times New Roman" w:hAnsi="Times New Roman" w:cs="Times New Roman"/>
          <w:sz w:val="24"/>
          <w:szCs w:val="24"/>
        </w:rPr>
        <w:t xml:space="preserve"> </w:t>
      </w:r>
      <w:r w:rsidR="00A41A43">
        <w:rPr>
          <w:rFonts w:ascii="Times New Roman" w:hAnsi="Times New Roman" w:cs="Times New Roman"/>
          <w:sz w:val="24"/>
          <w:szCs w:val="24"/>
        </w:rPr>
        <w:t>(Johnson 2013).</w:t>
      </w:r>
    </w:p>
    <w:p w14:paraId="73E057D7" w14:textId="2B329733" w:rsidR="005D7100" w:rsidRPr="00BD702E" w:rsidRDefault="00BD702E" w:rsidP="00BD702E">
      <w:pPr>
        <w:spacing w:after="0" w:line="480" w:lineRule="auto"/>
        <w:contextualSpacing/>
        <w:rPr>
          <w:rFonts w:ascii="Times New Roman" w:hAnsi="Times New Roman" w:cs="Times New Roman"/>
          <w:sz w:val="28"/>
          <w:szCs w:val="24"/>
        </w:rPr>
      </w:pPr>
      <w:r>
        <w:rPr>
          <w:rFonts w:ascii="Times New Roman" w:hAnsi="Times New Roman" w:cs="Times New Roman"/>
          <w:sz w:val="28"/>
          <w:szCs w:val="24"/>
        </w:rPr>
        <w:t>Actual Variation in</w:t>
      </w:r>
      <w:r w:rsidRPr="00BD702E">
        <w:rPr>
          <w:rFonts w:ascii="Times New Roman" w:hAnsi="Times New Roman" w:cs="Times New Roman"/>
          <w:sz w:val="28"/>
          <w:szCs w:val="24"/>
        </w:rPr>
        <w:t xml:space="preserve"> Pension Assumptions</w:t>
      </w:r>
    </w:p>
    <w:p w14:paraId="059A2E75" w14:textId="3D84FBF4" w:rsidR="00DA5A37" w:rsidRDefault="009522A9" w:rsidP="003E463C">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3E463C">
        <w:rPr>
          <w:rFonts w:ascii="Times New Roman" w:hAnsi="Times New Roman" w:cs="Times New Roman"/>
          <w:sz w:val="24"/>
          <w:szCs w:val="24"/>
        </w:rPr>
        <w:t xml:space="preserve">While there are strong modal norms in the </w:t>
      </w:r>
      <w:r w:rsidR="00D71027">
        <w:rPr>
          <w:rFonts w:ascii="Times New Roman" w:hAnsi="Times New Roman" w:cs="Times New Roman"/>
          <w:sz w:val="24"/>
          <w:szCs w:val="24"/>
        </w:rPr>
        <w:t>selection of actuarial inputs by</w:t>
      </w:r>
      <w:r w:rsidR="003E463C">
        <w:rPr>
          <w:rFonts w:ascii="Times New Roman" w:hAnsi="Times New Roman" w:cs="Times New Roman"/>
          <w:sz w:val="24"/>
          <w:szCs w:val="24"/>
        </w:rPr>
        <w:t xml:space="preserve"> public pension</w:t>
      </w:r>
      <w:r w:rsidR="00D71027">
        <w:rPr>
          <w:rFonts w:ascii="Times New Roman" w:hAnsi="Times New Roman" w:cs="Times New Roman"/>
          <w:sz w:val="24"/>
          <w:szCs w:val="24"/>
        </w:rPr>
        <w:t xml:space="preserve"> </w:t>
      </w:r>
      <w:r w:rsidR="003E463C">
        <w:rPr>
          <w:rFonts w:ascii="Times New Roman" w:hAnsi="Times New Roman" w:cs="Times New Roman"/>
          <w:sz w:val="24"/>
          <w:szCs w:val="24"/>
        </w:rPr>
        <w:t>s</w:t>
      </w:r>
      <w:r w:rsidR="00D71027">
        <w:rPr>
          <w:rFonts w:ascii="Times New Roman" w:hAnsi="Times New Roman" w:cs="Times New Roman"/>
          <w:sz w:val="24"/>
          <w:szCs w:val="24"/>
        </w:rPr>
        <w:t>ystems</w:t>
      </w:r>
      <w:r w:rsidR="003E463C">
        <w:rPr>
          <w:rFonts w:ascii="Times New Roman" w:hAnsi="Times New Roman" w:cs="Times New Roman"/>
          <w:sz w:val="24"/>
          <w:szCs w:val="24"/>
        </w:rPr>
        <w:t xml:space="preserve">, there is still a fair amount of variation around those norms. In this paper we focus on </w:t>
      </w:r>
      <w:r w:rsidR="00BD3023">
        <w:rPr>
          <w:rFonts w:ascii="Times New Roman" w:hAnsi="Times New Roman" w:cs="Times New Roman"/>
          <w:sz w:val="24"/>
          <w:szCs w:val="24"/>
        </w:rPr>
        <w:t>five</w:t>
      </w:r>
      <w:r w:rsidR="003E463C">
        <w:rPr>
          <w:rFonts w:ascii="Times New Roman" w:hAnsi="Times New Roman" w:cs="Times New Roman"/>
          <w:sz w:val="24"/>
          <w:szCs w:val="24"/>
        </w:rPr>
        <w:t xml:space="preserve"> actuarial inputs: discount rates, salary growth rates, amortization periods, cost methods, and mortality tables. In this </w:t>
      </w:r>
      <w:r w:rsidR="00DA5A37">
        <w:rPr>
          <w:rFonts w:ascii="Times New Roman" w:hAnsi="Times New Roman" w:cs="Times New Roman"/>
          <w:sz w:val="24"/>
          <w:szCs w:val="24"/>
        </w:rPr>
        <w:t>section</w:t>
      </w:r>
      <w:r w:rsidR="003E463C">
        <w:rPr>
          <w:rFonts w:ascii="Times New Roman" w:hAnsi="Times New Roman" w:cs="Times New Roman"/>
          <w:sz w:val="24"/>
          <w:szCs w:val="24"/>
        </w:rPr>
        <w:t xml:space="preserve">, </w:t>
      </w:r>
      <w:r w:rsidR="00D71027">
        <w:rPr>
          <w:rFonts w:ascii="Times New Roman" w:hAnsi="Times New Roman" w:cs="Times New Roman"/>
          <w:sz w:val="24"/>
          <w:szCs w:val="24"/>
        </w:rPr>
        <w:t xml:space="preserve">we describe each of those actuarial inputs and </w:t>
      </w:r>
      <w:r w:rsidR="00DA5A37">
        <w:rPr>
          <w:rFonts w:ascii="Times New Roman" w:hAnsi="Times New Roman" w:cs="Times New Roman"/>
          <w:sz w:val="24"/>
          <w:szCs w:val="24"/>
        </w:rPr>
        <w:t>summarize the</w:t>
      </w:r>
      <w:r w:rsidR="0058271C">
        <w:rPr>
          <w:rFonts w:ascii="Times New Roman" w:hAnsi="Times New Roman" w:cs="Times New Roman"/>
          <w:sz w:val="24"/>
          <w:szCs w:val="24"/>
        </w:rPr>
        <w:t>ir</w:t>
      </w:r>
      <w:r w:rsidR="00DA5A37">
        <w:rPr>
          <w:rFonts w:ascii="Times New Roman" w:hAnsi="Times New Roman" w:cs="Times New Roman"/>
          <w:sz w:val="24"/>
          <w:szCs w:val="24"/>
        </w:rPr>
        <w:t xml:space="preserve"> variation </w:t>
      </w:r>
      <w:r w:rsidR="003E463C">
        <w:rPr>
          <w:rFonts w:ascii="Times New Roman" w:hAnsi="Times New Roman" w:cs="Times New Roman"/>
          <w:sz w:val="24"/>
          <w:szCs w:val="24"/>
        </w:rPr>
        <w:t xml:space="preserve">in state and large locally-administered pension systems. </w:t>
      </w:r>
      <w:r w:rsidR="0058271C">
        <w:rPr>
          <w:rFonts w:ascii="Times New Roman" w:hAnsi="Times New Roman" w:cs="Times New Roman"/>
          <w:sz w:val="24"/>
          <w:szCs w:val="24"/>
        </w:rPr>
        <w:t>W</w:t>
      </w:r>
      <w:r w:rsidR="0099126C">
        <w:rPr>
          <w:rFonts w:ascii="Times New Roman" w:hAnsi="Times New Roman" w:cs="Times New Roman"/>
          <w:sz w:val="24"/>
          <w:szCs w:val="24"/>
        </w:rPr>
        <w:t xml:space="preserve">e </w:t>
      </w:r>
      <w:r w:rsidR="0058271C">
        <w:rPr>
          <w:rFonts w:ascii="Times New Roman" w:hAnsi="Times New Roman" w:cs="Times New Roman"/>
          <w:sz w:val="24"/>
          <w:szCs w:val="24"/>
        </w:rPr>
        <w:t xml:space="preserve">identify the distribution of actuarial inputs in U.S. pension systems by using </w:t>
      </w:r>
      <w:r w:rsidR="003E463C">
        <w:rPr>
          <w:rFonts w:ascii="Times New Roman" w:hAnsi="Times New Roman" w:cs="Times New Roman"/>
          <w:sz w:val="24"/>
          <w:szCs w:val="24"/>
        </w:rPr>
        <w:t>t</w:t>
      </w:r>
      <w:r w:rsidR="00D71027">
        <w:rPr>
          <w:rFonts w:ascii="Times New Roman" w:hAnsi="Times New Roman" w:cs="Times New Roman"/>
          <w:sz w:val="24"/>
          <w:szCs w:val="24"/>
        </w:rPr>
        <w:t xml:space="preserve">he Center for Retirement Research at Boston College's </w:t>
      </w:r>
      <w:r w:rsidR="00BA13C3">
        <w:rPr>
          <w:rFonts w:ascii="Times New Roman" w:hAnsi="Times New Roman" w:cs="Times New Roman"/>
          <w:sz w:val="24"/>
          <w:szCs w:val="24"/>
        </w:rPr>
        <w:t>Public Plan</w:t>
      </w:r>
      <w:r w:rsidR="00180026">
        <w:rPr>
          <w:rFonts w:ascii="Times New Roman" w:hAnsi="Times New Roman" w:cs="Times New Roman"/>
          <w:sz w:val="24"/>
          <w:szCs w:val="24"/>
        </w:rPr>
        <w:t>s</w:t>
      </w:r>
      <w:r w:rsidR="00BA13C3">
        <w:rPr>
          <w:rFonts w:ascii="Times New Roman" w:hAnsi="Times New Roman" w:cs="Times New Roman"/>
          <w:sz w:val="24"/>
          <w:szCs w:val="24"/>
        </w:rPr>
        <w:t xml:space="preserve"> Database (PPD)</w:t>
      </w:r>
      <w:r w:rsidR="00B76DE4">
        <w:rPr>
          <w:rFonts w:ascii="Times New Roman" w:hAnsi="Times New Roman" w:cs="Times New Roman"/>
          <w:sz w:val="24"/>
          <w:szCs w:val="24"/>
        </w:rPr>
        <w:t xml:space="preserve"> </w:t>
      </w:r>
      <w:r w:rsidR="00BD3023">
        <w:rPr>
          <w:rFonts w:ascii="Times New Roman" w:hAnsi="Times New Roman" w:cs="Times New Roman"/>
          <w:sz w:val="24"/>
          <w:szCs w:val="24"/>
        </w:rPr>
        <w:t>(</w:t>
      </w:r>
      <w:r w:rsidR="00180026">
        <w:rPr>
          <w:rFonts w:ascii="Times New Roman" w:hAnsi="Times New Roman" w:cs="Times New Roman"/>
          <w:sz w:val="24"/>
          <w:szCs w:val="24"/>
        </w:rPr>
        <w:t>Public Plans Database 2001-2011</w:t>
      </w:r>
      <w:r w:rsidR="00BD3023">
        <w:rPr>
          <w:rFonts w:ascii="Times New Roman" w:hAnsi="Times New Roman" w:cs="Times New Roman"/>
          <w:sz w:val="24"/>
          <w:szCs w:val="24"/>
        </w:rPr>
        <w:t>)</w:t>
      </w:r>
      <w:r w:rsidR="003E463C">
        <w:rPr>
          <w:rFonts w:ascii="Times New Roman" w:hAnsi="Times New Roman" w:cs="Times New Roman"/>
          <w:sz w:val="24"/>
          <w:szCs w:val="24"/>
        </w:rPr>
        <w:t xml:space="preserve">. The PPD provides information on </w:t>
      </w:r>
      <w:r w:rsidR="00BA13C3">
        <w:rPr>
          <w:rFonts w:ascii="Times New Roman" w:hAnsi="Times New Roman" w:cs="Times New Roman"/>
          <w:sz w:val="24"/>
          <w:szCs w:val="24"/>
        </w:rPr>
        <w:t>126 state and local pension plans from 2001 to 2011</w:t>
      </w:r>
      <w:r w:rsidR="003E463C">
        <w:rPr>
          <w:rFonts w:ascii="Times New Roman" w:hAnsi="Times New Roman" w:cs="Times New Roman"/>
          <w:sz w:val="24"/>
          <w:szCs w:val="24"/>
        </w:rPr>
        <w:t xml:space="preserve"> and </w:t>
      </w:r>
      <w:r w:rsidR="00DA5A37">
        <w:rPr>
          <w:rFonts w:ascii="Times New Roman" w:hAnsi="Times New Roman" w:cs="Times New Roman"/>
          <w:sz w:val="24"/>
          <w:szCs w:val="24"/>
        </w:rPr>
        <w:t>include</w:t>
      </w:r>
      <w:r w:rsidR="003E463C">
        <w:rPr>
          <w:rFonts w:ascii="Times New Roman" w:hAnsi="Times New Roman" w:cs="Times New Roman"/>
          <w:sz w:val="24"/>
          <w:szCs w:val="24"/>
        </w:rPr>
        <w:t>s</w:t>
      </w:r>
      <w:r w:rsidR="00BA13C3">
        <w:rPr>
          <w:rFonts w:ascii="Times New Roman" w:hAnsi="Times New Roman" w:cs="Times New Roman"/>
          <w:sz w:val="24"/>
          <w:szCs w:val="24"/>
        </w:rPr>
        <w:t xml:space="preserve"> more than 85</w:t>
      </w:r>
      <w:r w:rsidR="003E463C">
        <w:rPr>
          <w:rFonts w:ascii="Times New Roman" w:hAnsi="Times New Roman" w:cs="Times New Roman"/>
          <w:sz w:val="24"/>
          <w:szCs w:val="24"/>
        </w:rPr>
        <w:t xml:space="preserve"> percent o</w:t>
      </w:r>
      <w:r w:rsidR="00BA13C3">
        <w:rPr>
          <w:rFonts w:ascii="Times New Roman" w:hAnsi="Times New Roman" w:cs="Times New Roman"/>
          <w:sz w:val="24"/>
          <w:szCs w:val="24"/>
        </w:rPr>
        <w:t>f state and local pension assets and members</w:t>
      </w:r>
      <w:r w:rsidR="003E463C">
        <w:rPr>
          <w:rFonts w:ascii="Times New Roman" w:hAnsi="Times New Roman" w:cs="Times New Roman"/>
          <w:sz w:val="24"/>
          <w:szCs w:val="24"/>
        </w:rPr>
        <w:t>hip.</w:t>
      </w:r>
    </w:p>
    <w:p w14:paraId="03F33CA6" w14:textId="6583A9C1" w:rsidR="00BA13C3" w:rsidRDefault="00DA5A37" w:rsidP="00BA13C3">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BA13C3">
        <w:rPr>
          <w:rFonts w:ascii="Times New Roman" w:hAnsi="Times New Roman" w:cs="Times New Roman"/>
          <w:sz w:val="24"/>
          <w:szCs w:val="24"/>
        </w:rPr>
        <w:t>Table</w:t>
      </w:r>
      <w:r w:rsidR="0099126C">
        <w:rPr>
          <w:rFonts w:ascii="Times New Roman" w:hAnsi="Times New Roman" w:cs="Times New Roman"/>
          <w:sz w:val="24"/>
          <w:szCs w:val="24"/>
        </w:rPr>
        <w:t>s</w:t>
      </w:r>
      <w:r w:rsidR="00BA13C3">
        <w:rPr>
          <w:rFonts w:ascii="Times New Roman" w:hAnsi="Times New Roman" w:cs="Times New Roman"/>
          <w:sz w:val="24"/>
          <w:szCs w:val="24"/>
        </w:rPr>
        <w:t xml:space="preserve"> 1</w:t>
      </w:r>
      <w:r w:rsidR="00700E6A">
        <w:rPr>
          <w:rFonts w:ascii="Times New Roman" w:hAnsi="Times New Roman" w:cs="Times New Roman"/>
          <w:sz w:val="24"/>
          <w:szCs w:val="24"/>
        </w:rPr>
        <w:t xml:space="preserve"> </w:t>
      </w:r>
      <w:r w:rsidR="0099126C">
        <w:rPr>
          <w:rFonts w:ascii="Times New Roman" w:hAnsi="Times New Roman" w:cs="Times New Roman"/>
          <w:sz w:val="24"/>
          <w:szCs w:val="24"/>
        </w:rPr>
        <w:t xml:space="preserve">and </w:t>
      </w:r>
      <w:r w:rsidR="00700E6A">
        <w:rPr>
          <w:rFonts w:ascii="Times New Roman" w:hAnsi="Times New Roman" w:cs="Times New Roman"/>
          <w:sz w:val="24"/>
          <w:szCs w:val="24"/>
        </w:rPr>
        <w:t>2</w:t>
      </w:r>
      <w:r w:rsidR="0099126C">
        <w:rPr>
          <w:rFonts w:ascii="Times New Roman" w:hAnsi="Times New Roman" w:cs="Times New Roman"/>
          <w:sz w:val="24"/>
          <w:szCs w:val="24"/>
        </w:rPr>
        <w:t xml:space="preserve"> demonstrate the variation in actuarial inputs in public pensions. </w:t>
      </w:r>
      <w:r w:rsidR="00EA1B2B">
        <w:rPr>
          <w:rFonts w:ascii="Times New Roman" w:hAnsi="Times New Roman" w:cs="Times New Roman"/>
          <w:sz w:val="24"/>
          <w:szCs w:val="24"/>
        </w:rPr>
        <w:t>Three</w:t>
      </w:r>
      <w:r w:rsidR="0099126C">
        <w:rPr>
          <w:rFonts w:ascii="Times New Roman" w:hAnsi="Times New Roman" w:cs="Times New Roman"/>
          <w:sz w:val="24"/>
          <w:szCs w:val="24"/>
        </w:rPr>
        <w:t xml:space="preserve"> </w:t>
      </w:r>
      <w:r w:rsidR="00D71027">
        <w:rPr>
          <w:rFonts w:ascii="Times New Roman" w:hAnsi="Times New Roman" w:cs="Times New Roman"/>
          <w:sz w:val="24"/>
          <w:szCs w:val="24"/>
        </w:rPr>
        <w:t>qualifications are</w:t>
      </w:r>
      <w:r w:rsidR="0099126C">
        <w:rPr>
          <w:rFonts w:ascii="Times New Roman" w:hAnsi="Times New Roman" w:cs="Times New Roman"/>
          <w:sz w:val="24"/>
          <w:szCs w:val="24"/>
        </w:rPr>
        <w:t xml:space="preserve"> important</w:t>
      </w:r>
      <w:r w:rsidR="00D71027">
        <w:rPr>
          <w:rFonts w:ascii="Times New Roman" w:hAnsi="Times New Roman" w:cs="Times New Roman"/>
          <w:sz w:val="24"/>
          <w:szCs w:val="24"/>
        </w:rPr>
        <w:t xml:space="preserve"> to note</w:t>
      </w:r>
      <w:r w:rsidR="0099126C">
        <w:rPr>
          <w:rFonts w:ascii="Times New Roman" w:hAnsi="Times New Roman" w:cs="Times New Roman"/>
          <w:sz w:val="24"/>
          <w:szCs w:val="24"/>
        </w:rPr>
        <w:t xml:space="preserve">. First, </w:t>
      </w:r>
      <w:r w:rsidR="00EA1B2B">
        <w:rPr>
          <w:rFonts w:ascii="Times New Roman" w:hAnsi="Times New Roman" w:cs="Times New Roman"/>
          <w:sz w:val="24"/>
          <w:szCs w:val="24"/>
        </w:rPr>
        <w:t xml:space="preserve">the range of values in </w:t>
      </w:r>
      <w:r w:rsidR="00FD6B93">
        <w:rPr>
          <w:rFonts w:ascii="Times New Roman" w:hAnsi="Times New Roman" w:cs="Times New Roman"/>
          <w:sz w:val="24"/>
          <w:szCs w:val="24"/>
        </w:rPr>
        <w:t>t</w:t>
      </w:r>
      <w:r w:rsidR="00EA1B2B">
        <w:rPr>
          <w:rFonts w:ascii="Times New Roman" w:hAnsi="Times New Roman" w:cs="Times New Roman"/>
          <w:sz w:val="24"/>
          <w:szCs w:val="24"/>
        </w:rPr>
        <w:t xml:space="preserve">able 1 excludes </w:t>
      </w:r>
      <w:r w:rsidR="0058271C">
        <w:rPr>
          <w:rFonts w:ascii="Times New Roman" w:hAnsi="Times New Roman" w:cs="Times New Roman"/>
          <w:sz w:val="24"/>
          <w:szCs w:val="24"/>
        </w:rPr>
        <w:t xml:space="preserve">the </w:t>
      </w:r>
      <w:r w:rsidR="00EA1B2B">
        <w:rPr>
          <w:rFonts w:ascii="Times New Roman" w:hAnsi="Times New Roman" w:cs="Times New Roman"/>
          <w:sz w:val="24"/>
          <w:szCs w:val="24"/>
        </w:rPr>
        <w:t xml:space="preserve">outliers at the minimum and maximum </w:t>
      </w:r>
      <w:r w:rsidR="0058271C">
        <w:rPr>
          <w:rFonts w:ascii="Times New Roman" w:hAnsi="Times New Roman" w:cs="Times New Roman"/>
          <w:sz w:val="24"/>
          <w:szCs w:val="24"/>
        </w:rPr>
        <w:t>positions</w:t>
      </w:r>
      <w:r w:rsidR="0000355F">
        <w:rPr>
          <w:rFonts w:ascii="Times New Roman" w:hAnsi="Times New Roman" w:cs="Times New Roman"/>
          <w:sz w:val="24"/>
          <w:szCs w:val="24"/>
        </w:rPr>
        <w:t xml:space="preserve"> in order to more accurately present the range of typical values in practice</w:t>
      </w:r>
      <w:r w:rsidR="00EA1B2B">
        <w:rPr>
          <w:rFonts w:ascii="Times New Roman" w:hAnsi="Times New Roman" w:cs="Times New Roman"/>
          <w:sz w:val="24"/>
          <w:szCs w:val="24"/>
        </w:rPr>
        <w:t xml:space="preserve">. Second, </w:t>
      </w:r>
      <w:r w:rsidR="00465920">
        <w:rPr>
          <w:rFonts w:ascii="Times New Roman" w:hAnsi="Times New Roman" w:cs="Times New Roman"/>
          <w:sz w:val="24"/>
          <w:szCs w:val="24"/>
        </w:rPr>
        <w:t>mortality table</w:t>
      </w:r>
      <w:r w:rsidR="0099126C">
        <w:rPr>
          <w:rFonts w:ascii="Times New Roman" w:hAnsi="Times New Roman" w:cs="Times New Roman"/>
          <w:sz w:val="24"/>
          <w:szCs w:val="24"/>
        </w:rPr>
        <w:t>s</w:t>
      </w:r>
      <w:r w:rsidR="00465920">
        <w:rPr>
          <w:rFonts w:ascii="Times New Roman" w:hAnsi="Times New Roman" w:cs="Times New Roman"/>
          <w:sz w:val="24"/>
          <w:szCs w:val="24"/>
        </w:rPr>
        <w:t xml:space="preserve"> </w:t>
      </w:r>
      <w:r w:rsidR="0099126C">
        <w:rPr>
          <w:rFonts w:ascii="Times New Roman" w:hAnsi="Times New Roman" w:cs="Times New Roman"/>
          <w:sz w:val="24"/>
          <w:szCs w:val="24"/>
        </w:rPr>
        <w:t>are not reported in the</w:t>
      </w:r>
      <w:r w:rsidR="00465920">
        <w:rPr>
          <w:rFonts w:ascii="Times New Roman" w:hAnsi="Times New Roman" w:cs="Times New Roman"/>
          <w:sz w:val="24"/>
          <w:szCs w:val="24"/>
        </w:rPr>
        <w:t xml:space="preserve"> PPD and </w:t>
      </w:r>
      <w:r w:rsidR="0099126C">
        <w:rPr>
          <w:rFonts w:ascii="Times New Roman" w:hAnsi="Times New Roman" w:cs="Times New Roman"/>
          <w:sz w:val="24"/>
          <w:szCs w:val="24"/>
        </w:rPr>
        <w:t xml:space="preserve">are </w:t>
      </w:r>
      <w:r w:rsidR="00D54860">
        <w:rPr>
          <w:rFonts w:ascii="Times New Roman" w:hAnsi="Times New Roman" w:cs="Times New Roman"/>
          <w:sz w:val="24"/>
          <w:szCs w:val="24"/>
        </w:rPr>
        <w:t xml:space="preserve">therefore </w:t>
      </w:r>
      <w:r w:rsidR="00465920">
        <w:rPr>
          <w:rFonts w:ascii="Times New Roman" w:hAnsi="Times New Roman" w:cs="Times New Roman"/>
          <w:sz w:val="24"/>
          <w:szCs w:val="24"/>
        </w:rPr>
        <w:t xml:space="preserve">not shown in </w:t>
      </w:r>
      <w:r w:rsidR="00FD6B93">
        <w:rPr>
          <w:rFonts w:ascii="Times New Roman" w:hAnsi="Times New Roman" w:cs="Times New Roman"/>
          <w:sz w:val="24"/>
          <w:szCs w:val="24"/>
        </w:rPr>
        <w:t>t</w:t>
      </w:r>
      <w:r w:rsidR="00465920">
        <w:rPr>
          <w:rFonts w:ascii="Times New Roman" w:hAnsi="Times New Roman" w:cs="Times New Roman"/>
          <w:sz w:val="24"/>
          <w:szCs w:val="24"/>
        </w:rPr>
        <w:t>ables 1 or 2</w:t>
      </w:r>
      <w:r w:rsidR="0099126C">
        <w:rPr>
          <w:rFonts w:ascii="Times New Roman" w:hAnsi="Times New Roman" w:cs="Times New Roman"/>
          <w:sz w:val="24"/>
          <w:szCs w:val="24"/>
        </w:rPr>
        <w:t xml:space="preserve">. </w:t>
      </w:r>
      <w:r w:rsidR="00EA1B2B">
        <w:rPr>
          <w:rFonts w:ascii="Times New Roman" w:hAnsi="Times New Roman" w:cs="Times New Roman"/>
          <w:sz w:val="24"/>
          <w:szCs w:val="24"/>
        </w:rPr>
        <w:t>Third</w:t>
      </w:r>
      <w:r w:rsidR="0099126C">
        <w:rPr>
          <w:rFonts w:ascii="Times New Roman" w:hAnsi="Times New Roman" w:cs="Times New Roman"/>
          <w:sz w:val="24"/>
          <w:szCs w:val="24"/>
        </w:rPr>
        <w:t xml:space="preserve">, the discount rate and salary growth rate assumptions reported </w:t>
      </w:r>
      <w:r w:rsidR="00EA1B2B">
        <w:rPr>
          <w:rFonts w:ascii="Times New Roman" w:hAnsi="Times New Roman" w:cs="Times New Roman"/>
          <w:sz w:val="24"/>
          <w:szCs w:val="24"/>
        </w:rPr>
        <w:t xml:space="preserve">in </w:t>
      </w:r>
      <w:r w:rsidR="00FD6B93">
        <w:rPr>
          <w:rFonts w:ascii="Times New Roman" w:hAnsi="Times New Roman" w:cs="Times New Roman"/>
          <w:sz w:val="24"/>
          <w:szCs w:val="24"/>
        </w:rPr>
        <w:t>t</w:t>
      </w:r>
      <w:r w:rsidR="00EA1B2B">
        <w:rPr>
          <w:rFonts w:ascii="Times New Roman" w:hAnsi="Times New Roman" w:cs="Times New Roman"/>
          <w:sz w:val="24"/>
          <w:szCs w:val="24"/>
        </w:rPr>
        <w:t xml:space="preserve">able 1 </w:t>
      </w:r>
      <w:r w:rsidR="00B332C8">
        <w:rPr>
          <w:rFonts w:ascii="Times New Roman" w:hAnsi="Times New Roman" w:cs="Times New Roman"/>
          <w:sz w:val="24"/>
          <w:szCs w:val="24"/>
        </w:rPr>
        <w:t>include</w:t>
      </w:r>
      <w:r w:rsidR="0099126C">
        <w:rPr>
          <w:rFonts w:ascii="Times New Roman" w:hAnsi="Times New Roman" w:cs="Times New Roman"/>
          <w:sz w:val="24"/>
          <w:szCs w:val="24"/>
        </w:rPr>
        <w:t xml:space="preserve"> the inflation rate assumptions</w:t>
      </w:r>
      <w:r w:rsidR="00EA1B2B">
        <w:rPr>
          <w:rFonts w:ascii="Times New Roman" w:hAnsi="Times New Roman" w:cs="Times New Roman"/>
          <w:sz w:val="24"/>
          <w:szCs w:val="24"/>
        </w:rPr>
        <w:t>;</w:t>
      </w:r>
      <w:r w:rsidR="0099126C">
        <w:rPr>
          <w:rFonts w:ascii="Times New Roman" w:hAnsi="Times New Roman" w:cs="Times New Roman"/>
          <w:sz w:val="24"/>
          <w:szCs w:val="24"/>
        </w:rPr>
        <w:t xml:space="preserve"> inflation rate</w:t>
      </w:r>
      <w:r w:rsidR="00EA1B2B">
        <w:rPr>
          <w:rFonts w:ascii="Times New Roman" w:hAnsi="Times New Roman" w:cs="Times New Roman"/>
          <w:sz w:val="24"/>
          <w:szCs w:val="24"/>
        </w:rPr>
        <w:t xml:space="preserve"> assumptions</w:t>
      </w:r>
      <w:r w:rsidR="0099126C">
        <w:rPr>
          <w:rFonts w:ascii="Times New Roman" w:hAnsi="Times New Roman" w:cs="Times New Roman"/>
          <w:sz w:val="24"/>
          <w:szCs w:val="24"/>
        </w:rPr>
        <w:t xml:space="preserve"> are not discussed explicitly in the rest of this paper, but they are implied by the discount rate and salary growth rate assumptions. </w:t>
      </w:r>
    </w:p>
    <w:p w14:paraId="54282BC6" w14:textId="1B9794BD" w:rsidR="00825963" w:rsidRDefault="00825963" w:rsidP="00BA13C3">
      <w:pPr>
        <w:spacing w:after="0" w:line="480" w:lineRule="auto"/>
        <w:contextualSpacing/>
        <w:jc w:val="center"/>
        <w:rPr>
          <w:rFonts w:ascii="Times New Roman" w:hAnsi="Times New Roman" w:cs="Times New Roman"/>
          <w:sz w:val="24"/>
          <w:szCs w:val="24"/>
        </w:rPr>
      </w:pPr>
      <w:r>
        <w:rPr>
          <w:rFonts w:ascii="Times New Roman" w:hAnsi="Times New Roman" w:cs="Times New Roman"/>
          <w:sz w:val="24"/>
          <w:szCs w:val="24"/>
        </w:rPr>
        <w:lastRenderedPageBreak/>
        <w:t>&lt;Table 1&gt;</w:t>
      </w:r>
    </w:p>
    <w:p w14:paraId="2131D587" w14:textId="2113F8BD" w:rsidR="00825963" w:rsidRDefault="00825963" w:rsidP="00BA13C3">
      <w:pPr>
        <w:spacing w:after="0" w:line="480" w:lineRule="auto"/>
        <w:contextualSpacing/>
        <w:jc w:val="center"/>
        <w:rPr>
          <w:rFonts w:ascii="Times New Roman" w:hAnsi="Times New Roman" w:cs="Times New Roman"/>
          <w:sz w:val="24"/>
          <w:szCs w:val="24"/>
        </w:rPr>
      </w:pPr>
      <w:r>
        <w:rPr>
          <w:rFonts w:ascii="Times New Roman" w:hAnsi="Times New Roman" w:cs="Times New Roman"/>
          <w:sz w:val="24"/>
          <w:szCs w:val="24"/>
        </w:rPr>
        <w:t>&lt;Table 2&gt;</w:t>
      </w:r>
    </w:p>
    <w:p w14:paraId="43207D62" w14:textId="31C29463" w:rsidR="00617BA2" w:rsidRDefault="0099126C" w:rsidP="00915C65">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r w:rsidRPr="0099126C">
        <w:rPr>
          <w:rFonts w:ascii="Times New Roman" w:hAnsi="Times New Roman" w:cs="Times New Roman"/>
          <w:b/>
          <w:i/>
          <w:sz w:val="24"/>
          <w:szCs w:val="24"/>
        </w:rPr>
        <w:t>D</w:t>
      </w:r>
      <w:r w:rsidR="007770D9" w:rsidRPr="0099126C">
        <w:rPr>
          <w:rFonts w:ascii="Times New Roman" w:hAnsi="Times New Roman" w:cs="Times New Roman"/>
          <w:b/>
          <w:i/>
          <w:sz w:val="24"/>
          <w:szCs w:val="24"/>
        </w:rPr>
        <w:t>iscount rate</w:t>
      </w:r>
      <w:r>
        <w:rPr>
          <w:rFonts w:ascii="Times New Roman" w:hAnsi="Times New Roman" w:cs="Times New Roman"/>
          <w:b/>
          <w:i/>
          <w:sz w:val="24"/>
          <w:szCs w:val="24"/>
        </w:rPr>
        <w:t>s</w:t>
      </w:r>
      <w:r w:rsidR="007770D9">
        <w:rPr>
          <w:rFonts w:ascii="Times New Roman" w:hAnsi="Times New Roman" w:cs="Times New Roman"/>
          <w:sz w:val="24"/>
          <w:szCs w:val="24"/>
        </w:rPr>
        <w:t xml:space="preserve"> </w:t>
      </w:r>
      <w:r>
        <w:rPr>
          <w:rFonts w:ascii="Times New Roman" w:hAnsi="Times New Roman" w:cs="Times New Roman"/>
          <w:sz w:val="24"/>
          <w:szCs w:val="24"/>
        </w:rPr>
        <w:t>are</w:t>
      </w:r>
      <w:r w:rsidR="007770D9">
        <w:rPr>
          <w:rFonts w:ascii="Times New Roman" w:hAnsi="Times New Roman" w:cs="Times New Roman"/>
          <w:sz w:val="24"/>
          <w:szCs w:val="24"/>
        </w:rPr>
        <w:t xml:space="preserve"> </w:t>
      </w:r>
      <w:r w:rsidR="00380A4F">
        <w:rPr>
          <w:rFonts w:ascii="Times New Roman" w:hAnsi="Times New Roman" w:cs="Times New Roman"/>
          <w:sz w:val="24"/>
          <w:szCs w:val="24"/>
        </w:rPr>
        <w:t xml:space="preserve">used to </w:t>
      </w:r>
      <w:r w:rsidR="007770D9">
        <w:rPr>
          <w:rFonts w:ascii="Times New Roman" w:hAnsi="Times New Roman" w:cs="Times New Roman"/>
          <w:sz w:val="24"/>
          <w:szCs w:val="24"/>
        </w:rPr>
        <w:t xml:space="preserve">calculate the present value of </w:t>
      </w:r>
      <w:r w:rsidR="00380A4F">
        <w:rPr>
          <w:rFonts w:ascii="Times New Roman" w:hAnsi="Times New Roman" w:cs="Times New Roman"/>
          <w:sz w:val="24"/>
          <w:szCs w:val="24"/>
        </w:rPr>
        <w:t xml:space="preserve">future </w:t>
      </w:r>
      <w:r w:rsidR="00EA1B2B">
        <w:rPr>
          <w:rFonts w:ascii="Times New Roman" w:hAnsi="Times New Roman" w:cs="Times New Roman"/>
          <w:sz w:val="24"/>
          <w:szCs w:val="24"/>
        </w:rPr>
        <w:t>benefits</w:t>
      </w:r>
      <w:r w:rsidR="00600DDA">
        <w:rPr>
          <w:rFonts w:ascii="Times New Roman" w:hAnsi="Times New Roman" w:cs="Times New Roman"/>
          <w:sz w:val="24"/>
          <w:szCs w:val="24"/>
        </w:rPr>
        <w:t xml:space="preserve">. </w:t>
      </w:r>
      <w:r>
        <w:rPr>
          <w:rFonts w:ascii="Times New Roman" w:hAnsi="Times New Roman" w:cs="Times New Roman"/>
          <w:sz w:val="24"/>
          <w:szCs w:val="24"/>
        </w:rPr>
        <w:t>Larger</w:t>
      </w:r>
      <w:r w:rsidR="00600DDA">
        <w:rPr>
          <w:rFonts w:ascii="Times New Roman" w:hAnsi="Times New Roman" w:cs="Times New Roman"/>
          <w:sz w:val="24"/>
          <w:szCs w:val="24"/>
        </w:rPr>
        <w:t xml:space="preserve"> discount rate</w:t>
      </w:r>
      <w:r>
        <w:rPr>
          <w:rFonts w:ascii="Times New Roman" w:hAnsi="Times New Roman" w:cs="Times New Roman"/>
          <w:sz w:val="24"/>
          <w:szCs w:val="24"/>
        </w:rPr>
        <w:t>s</w:t>
      </w:r>
      <w:r w:rsidR="00600DDA">
        <w:rPr>
          <w:rFonts w:ascii="Times New Roman" w:hAnsi="Times New Roman" w:cs="Times New Roman"/>
          <w:sz w:val="24"/>
          <w:szCs w:val="24"/>
        </w:rPr>
        <w:t xml:space="preserve"> lead to </w:t>
      </w:r>
      <w:r>
        <w:rPr>
          <w:rFonts w:ascii="Times New Roman" w:hAnsi="Times New Roman" w:cs="Times New Roman"/>
          <w:sz w:val="24"/>
          <w:szCs w:val="24"/>
        </w:rPr>
        <w:t xml:space="preserve">lower liabilities, </w:t>
      </w:r>
      <w:r w:rsidR="00600DDA">
        <w:rPr>
          <w:rFonts w:ascii="Times New Roman" w:hAnsi="Times New Roman" w:cs="Times New Roman"/>
          <w:sz w:val="24"/>
          <w:szCs w:val="24"/>
        </w:rPr>
        <w:t>higher funding ratio</w:t>
      </w:r>
      <w:r w:rsidR="00C64BB1">
        <w:rPr>
          <w:rFonts w:ascii="Times New Roman" w:hAnsi="Times New Roman" w:cs="Times New Roman"/>
          <w:sz w:val="24"/>
          <w:szCs w:val="24"/>
        </w:rPr>
        <w:t>s</w:t>
      </w:r>
      <w:r w:rsidR="00617BA2">
        <w:rPr>
          <w:rFonts w:ascii="Times New Roman" w:hAnsi="Times New Roman" w:cs="Times New Roman"/>
          <w:sz w:val="24"/>
          <w:szCs w:val="24"/>
        </w:rPr>
        <w:t xml:space="preserve"> (i.e., the ratio of asset holdings to liabilities)</w:t>
      </w:r>
      <w:r w:rsidR="00600DDA">
        <w:rPr>
          <w:rFonts w:ascii="Times New Roman" w:hAnsi="Times New Roman" w:cs="Times New Roman"/>
          <w:sz w:val="24"/>
          <w:szCs w:val="24"/>
        </w:rPr>
        <w:t xml:space="preserve">, and lower </w:t>
      </w:r>
      <w:r w:rsidR="00617BA2">
        <w:rPr>
          <w:rFonts w:ascii="Times New Roman" w:hAnsi="Times New Roman" w:cs="Times New Roman"/>
          <w:sz w:val="24"/>
          <w:szCs w:val="24"/>
        </w:rPr>
        <w:t>contribution requirements</w:t>
      </w:r>
      <w:r w:rsidR="00380A4F">
        <w:rPr>
          <w:rFonts w:ascii="Times New Roman" w:hAnsi="Times New Roman" w:cs="Times New Roman"/>
          <w:sz w:val="24"/>
          <w:szCs w:val="24"/>
        </w:rPr>
        <w:t xml:space="preserve">. </w:t>
      </w:r>
      <w:r w:rsidR="00915C65">
        <w:rPr>
          <w:rFonts w:ascii="Times New Roman" w:hAnsi="Times New Roman" w:cs="Times New Roman"/>
          <w:sz w:val="24"/>
          <w:szCs w:val="24"/>
        </w:rPr>
        <w:t xml:space="preserve">Accounting </w:t>
      </w:r>
      <w:r w:rsidR="00915C65" w:rsidRPr="0006573D">
        <w:rPr>
          <w:rFonts w:ascii="Times New Roman" w:hAnsi="Times New Roman" w:cs="Times New Roman"/>
          <w:sz w:val="24"/>
          <w:szCs w:val="24"/>
        </w:rPr>
        <w:t>standards</w:t>
      </w:r>
      <w:r w:rsidR="00915C65">
        <w:rPr>
          <w:rFonts w:ascii="Times New Roman" w:hAnsi="Times New Roman" w:cs="Times New Roman"/>
          <w:sz w:val="24"/>
          <w:szCs w:val="24"/>
        </w:rPr>
        <w:t xml:space="preserve"> hold that discount rate</w:t>
      </w:r>
      <w:r w:rsidR="00D54860">
        <w:rPr>
          <w:rFonts w:ascii="Times New Roman" w:hAnsi="Times New Roman" w:cs="Times New Roman"/>
          <w:sz w:val="24"/>
          <w:szCs w:val="24"/>
        </w:rPr>
        <w:t>s</w:t>
      </w:r>
      <w:r w:rsidR="00915C65">
        <w:rPr>
          <w:rFonts w:ascii="Times New Roman" w:hAnsi="Times New Roman" w:cs="Times New Roman"/>
          <w:sz w:val="24"/>
          <w:szCs w:val="24"/>
        </w:rPr>
        <w:t xml:space="preserve"> should reflect the expected rate of return on the investment of pension assets (GASB 1994a, 1994b). </w:t>
      </w:r>
      <w:r w:rsidR="00617BA2">
        <w:rPr>
          <w:rFonts w:ascii="Times New Roman" w:hAnsi="Times New Roman" w:cs="Times New Roman"/>
          <w:sz w:val="24"/>
          <w:szCs w:val="24"/>
        </w:rPr>
        <w:t>GASB 27 required</w:t>
      </w:r>
      <w:r>
        <w:rPr>
          <w:rFonts w:ascii="Times New Roman" w:hAnsi="Times New Roman" w:cs="Times New Roman"/>
          <w:sz w:val="24"/>
          <w:szCs w:val="24"/>
        </w:rPr>
        <w:t xml:space="preserve"> </w:t>
      </w:r>
      <w:r w:rsidR="00617BA2">
        <w:rPr>
          <w:rFonts w:ascii="Times New Roman" w:hAnsi="Times New Roman" w:cs="Times New Roman"/>
          <w:sz w:val="24"/>
          <w:szCs w:val="24"/>
        </w:rPr>
        <w:t xml:space="preserve">that </w:t>
      </w:r>
      <w:r>
        <w:rPr>
          <w:rFonts w:ascii="Times New Roman" w:hAnsi="Times New Roman" w:cs="Times New Roman"/>
          <w:sz w:val="24"/>
          <w:szCs w:val="24"/>
        </w:rPr>
        <w:t>discount rate</w:t>
      </w:r>
      <w:r w:rsidR="00D54860">
        <w:rPr>
          <w:rFonts w:ascii="Times New Roman" w:hAnsi="Times New Roman" w:cs="Times New Roman"/>
          <w:sz w:val="24"/>
          <w:szCs w:val="24"/>
        </w:rPr>
        <w:t>s</w:t>
      </w:r>
      <w:r>
        <w:rPr>
          <w:rFonts w:ascii="Times New Roman" w:hAnsi="Times New Roman" w:cs="Times New Roman"/>
          <w:sz w:val="24"/>
          <w:szCs w:val="24"/>
        </w:rPr>
        <w:t xml:space="preserve"> </w:t>
      </w:r>
      <w:r w:rsidR="00617BA2">
        <w:rPr>
          <w:rFonts w:ascii="Times New Roman" w:hAnsi="Times New Roman" w:cs="Times New Roman"/>
          <w:sz w:val="24"/>
          <w:szCs w:val="24"/>
        </w:rPr>
        <w:t xml:space="preserve">are </w:t>
      </w:r>
      <w:r>
        <w:rPr>
          <w:rFonts w:ascii="Times New Roman" w:hAnsi="Times New Roman" w:cs="Times New Roman"/>
          <w:sz w:val="24"/>
          <w:szCs w:val="24"/>
        </w:rPr>
        <w:t>based on</w:t>
      </w:r>
      <w:r w:rsidR="00D54860">
        <w:rPr>
          <w:rFonts w:ascii="Times New Roman" w:hAnsi="Times New Roman" w:cs="Times New Roman"/>
          <w:sz w:val="24"/>
          <w:szCs w:val="24"/>
        </w:rPr>
        <w:t xml:space="preserve"> the</w:t>
      </w:r>
      <w:r>
        <w:rPr>
          <w:rFonts w:ascii="Times New Roman" w:hAnsi="Times New Roman" w:cs="Times New Roman"/>
          <w:sz w:val="24"/>
          <w:szCs w:val="24"/>
        </w:rPr>
        <w:t xml:space="preserve"> “</w:t>
      </w:r>
      <w:r w:rsidRPr="00F91E38">
        <w:rPr>
          <w:rFonts w:ascii="Times New Roman" w:hAnsi="Times New Roman" w:cs="Times New Roman"/>
          <w:sz w:val="24"/>
          <w:szCs w:val="24"/>
        </w:rPr>
        <w:t>estimated long-term investment yield</w:t>
      </w:r>
      <w:r>
        <w:rPr>
          <w:rFonts w:ascii="Times New Roman" w:hAnsi="Times New Roman" w:cs="Times New Roman"/>
          <w:sz w:val="24"/>
          <w:szCs w:val="24"/>
        </w:rPr>
        <w:t xml:space="preserve">” but </w:t>
      </w:r>
      <w:r w:rsidR="00EA1B2B">
        <w:rPr>
          <w:rFonts w:ascii="Times New Roman" w:hAnsi="Times New Roman" w:cs="Times New Roman"/>
          <w:sz w:val="24"/>
          <w:szCs w:val="24"/>
        </w:rPr>
        <w:t>did</w:t>
      </w:r>
      <w:r w:rsidR="00617BA2">
        <w:rPr>
          <w:rFonts w:ascii="Times New Roman" w:hAnsi="Times New Roman" w:cs="Times New Roman"/>
          <w:sz w:val="24"/>
          <w:szCs w:val="24"/>
        </w:rPr>
        <w:t xml:space="preserve"> not</w:t>
      </w:r>
      <w:r>
        <w:rPr>
          <w:rFonts w:ascii="Times New Roman" w:hAnsi="Times New Roman" w:cs="Times New Roman"/>
          <w:sz w:val="24"/>
          <w:szCs w:val="24"/>
        </w:rPr>
        <w:t xml:space="preserve"> </w:t>
      </w:r>
      <w:r w:rsidR="00EA1B2B">
        <w:rPr>
          <w:rFonts w:ascii="Times New Roman" w:hAnsi="Times New Roman" w:cs="Times New Roman"/>
          <w:sz w:val="24"/>
          <w:szCs w:val="24"/>
        </w:rPr>
        <w:t>specifically list acceptable rates</w:t>
      </w:r>
      <w:r>
        <w:rPr>
          <w:rFonts w:ascii="Times New Roman" w:hAnsi="Times New Roman" w:cs="Times New Roman"/>
          <w:sz w:val="24"/>
          <w:szCs w:val="24"/>
        </w:rPr>
        <w:t xml:space="preserve">. </w:t>
      </w:r>
    </w:p>
    <w:p w14:paraId="22BF2A50" w14:textId="3DF5E989" w:rsidR="00E345D7" w:rsidRDefault="00617BA2" w:rsidP="00617BA2">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As reported in </w:t>
      </w:r>
      <w:r w:rsidR="00FD6B93">
        <w:rPr>
          <w:rFonts w:ascii="Times New Roman" w:hAnsi="Times New Roman" w:cs="Times New Roman"/>
          <w:sz w:val="24"/>
          <w:szCs w:val="24"/>
        </w:rPr>
        <w:t>t</w:t>
      </w:r>
      <w:r>
        <w:rPr>
          <w:rFonts w:ascii="Times New Roman" w:hAnsi="Times New Roman" w:cs="Times New Roman"/>
          <w:sz w:val="24"/>
          <w:szCs w:val="24"/>
        </w:rPr>
        <w:t xml:space="preserve">able 1, the median discount rate is 8 percent and the range of </w:t>
      </w:r>
      <w:r w:rsidR="00EA1B2B">
        <w:rPr>
          <w:rFonts w:ascii="Times New Roman" w:hAnsi="Times New Roman" w:cs="Times New Roman"/>
          <w:sz w:val="24"/>
          <w:szCs w:val="24"/>
        </w:rPr>
        <w:t xml:space="preserve">typical </w:t>
      </w:r>
      <w:r>
        <w:rPr>
          <w:rFonts w:ascii="Times New Roman" w:hAnsi="Times New Roman" w:cs="Times New Roman"/>
          <w:sz w:val="24"/>
          <w:szCs w:val="24"/>
        </w:rPr>
        <w:t xml:space="preserve">discount rates is between 6 and 8.75 percent. </w:t>
      </w:r>
      <w:r w:rsidR="00E345D7">
        <w:rPr>
          <w:rFonts w:ascii="Times New Roman" w:hAnsi="Times New Roman" w:cs="Times New Roman"/>
          <w:sz w:val="24"/>
          <w:szCs w:val="24"/>
        </w:rPr>
        <w:t>This</w:t>
      </w:r>
      <w:r w:rsidR="00915C65">
        <w:rPr>
          <w:rFonts w:ascii="Times New Roman" w:hAnsi="Times New Roman" w:cs="Times New Roman"/>
          <w:sz w:val="24"/>
          <w:szCs w:val="24"/>
        </w:rPr>
        <w:t xml:space="preserve"> reflects an explicit assumption </w:t>
      </w:r>
      <w:r w:rsidR="00E345D7">
        <w:rPr>
          <w:rFonts w:ascii="Times New Roman" w:hAnsi="Times New Roman" w:cs="Times New Roman"/>
          <w:sz w:val="24"/>
          <w:szCs w:val="24"/>
        </w:rPr>
        <w:t xml:space="preserve">by most governments </w:t>
      </w:r>
      <w:r w:rsidR="00915C65">
        <w:rPr>
          <w:rFonts w:ascii="Times New Roman" w:hAnsi="Times New Roman" w:cs="Times New Roman"/>
          <w:sz w:val="24"/>
          <w:szCs w:val="24"/>
        </w:rPr>
        <w:t>that long-term return</w:t>
      </w:r>
      <w:r w:rsidR="00EA1B2B">
        <w:rPr>
          <w:rFonts w:ascii="Times New Roman" w:hAnsi="Times New Roman" w:cs="Times New Roman"/>
          <w:sz w:val="24"/>
          <w:szCs w:val="24"/>
        </w:rPr>
        <w:t>s</w:t>
      </w:r>
      <w:r w:rsidR="00915C65">
        <w:rPr>
          <w:rFonts w:ascii="Times New Roman" w:hAnsi="Times New Roman" w:cs="Times New Roman"/>
          <w:sz w:val="24"/>
          <w:szCs w:val="24"/>
        </w:rPr>
        <w:t xml:space="preserve"> </w:t>
      </w:r>
      <w:r w:rsidR="00E345D7">
        <w:rPr>
          <w:rFonts w:ascii="Times New Roman" w:hAnsi="Times New Roman" w:cs="Times New Roman"/>
          <w:sz w:val="24"/>
          <w:szCs w:val="24"/>
        </w:rPr>
        <w:t>from</w:t>
      </w:r>
      <w:r w:rsidR="00915C65">
        <w:rPr>
          <w:rFonts w:ascii="Times New Roman" w:hAnsi="Times New Roman" w:cs="Times New Roman"/>
          <w:sz w:val="24"/>
          <w:szCs w:val="24"/>
        </w:rPr>
        <w:t xml:space="preserve"> pension fund investments </w:t>
      </w:r>
      <w:r w:rsidR="00E345D7">
        <w:rPr>
          <w:rFonts w:ascii="Times New Roman" w:hAnsi="Times New Roman" w:cs="Times New Roman"/>
          <w:sz w:val="24"/>
          <w:szCs w:val="24"/>
        </w:rPr>
        <w:t>will</w:t>
      </w:r>
      <w:r w:rsidR="00915C65">
        <w:rPr>
          <w:rFonts w:ascii="Times New Roman" w:hAnsi="Times New Roman" w:cs="Times New Roman"/>
          <w:sz w:val="24"/>
          <w:szCs w:val="24"/>
        </w:rPr>
        <w:t xml:space="preserve"> average</w:t>
      </w:r>
      <w:r w:rsidR="0058271C">
        <w:rPr>
          <w:rFonts w:ascii="Times New Roman" w:hAnsi="Times New Roman" w:cs="Times New Roman"/>
          <w:sz w:val="24"/>
          <w:szCs w:val="24"/>
        </w:rPr>
        <w:t xml:space="preserve"> about</w:t>
      </w:r>
      <w:r w:rsidR="00915C65">
        <w:rPr>
          <w:rFonts w:ascii="Times New Roman" w:hAnsi="Times New Roman" w:cs="Times New Roman"/>
          <w:sz w:val="24"/>
          <w:szCs w:val="24"/>
        </w:rPr>
        <w:t xml:space="preserve"> 8 percent. </w:t>
      </w:r>
    </w:p>
    <w:p w14:paraId="2ADF28BB" w14:textId="1E875B18" w:rsidR="00915C65" w:rsidRDefault="00E345D7" w:rsidP="00617BA2">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The "expected rate of return" standard is widely criticized by financial economists who contend that discounting liabilities should not be based on asset growth expectations but, rather, </w:t>
      </w:r>
      <w:r w:rsidR="00915C65">
        <w:rPr>
          <w:rFonts w:ascii="Times New Roman" w:hAnsi="Times New Roman" w:cs="Times New Roman"/>
          <w:sz w:val="24"/>
          <w:szCs w:val="24"/>
        </w:rPr>
        <w:t>that discount rate</w:t>
      </w:r>
      <w:r w:rsidR="00D54860">
        <w:rPr>
          <w:rFonts w:ascii="Times New Roman" w:hAnsi="Times New Roman" w:cs="Times New Roman"/>
          <w:sz w:val="24"/>
          <w:szCs w:val="24"/>
        </w:rPr>
        <w:t>s</w:t>
      </w:r>
      <w:r>
        <w:rPr>
          <w:rFonts w:ascii="Times New Roman" w:hAnsi="Times New Roman" w:cs="Times New Roman"/>
          <w:sz w:val="24"/>
          <w:szCs w:val="24"/>
        </w:rPr>
        <w:t xml:space="preserve"> should</w:t>
      </w:r>
      <w:r w:rsidR="00915C65">
        <w:rPr>
          <w:rFonts w:ascii="Times New Roman" w:hAnsi="Times New Roman" w:cs="Times New Roman"/>
          <w:sz w:val="24"/>
          <w:szCs w:val="24"/>
        </w:rPr>
        <w:t xml:space="preserve"> reflect the near certainty of </w:t>
      </w:r>
      <w:r w:rsidR="0058271C">
        <w:rPr>
          <w:rFonts w:ascii="Times New Roman" w:hAnsi="Times New Roman" w:cs="Times New Roman"/>
          <w:sz w:val="24"/>
          <w:szCs w:val="24"/>
        </w:rPr>
        <w:t xml:space="preserve">guaranteeing </w:t>
      </w:r>
      <w:r w:rsidR="00915C65">
        <w:rPr>
          <w:rFonts w:ascii="Times New Roman" w:hAnsi="Times New Roman" w:cs="Times New Roman"/>
          <w:sz w:val="24"/>
          <w:szCs w:val="24"/>
        </w:rPr>
        <w:t>pension benefit</w:t>
      </w:r>
      <w:r w:rsidR="0058271C">
        <w:rPr>
          <w:rFonts w:ascii="Times New Roman" w:hAnsi="Times New Roman" w:cs="Times New Roman"/>
          <w:sz w:val="24"/>
          <w:szCs w:val="24"/>
        </w:rPr>
        <w:t>s</w:t>
      </w:r>
      <w:r>
        <w:rPr>
          <w:rFonts w:ascii="Times New Roman" w:hAnsi="Times New Roman" w:cs="Times New Roman"/>
          <w:sz w:val="24"/>
          <w:szCs w:val="24"/>
        </w:rPr>
        <w:t xml:space="preserve">. That perspective leads to discount rates that are representative of </w:t>
      </w:r>
      <w:r w:rsidR="00915C65">
        <w:rPr>
          <w:rFonts w:ascii="Times New Roman" w:hAnsi="Times New Roman" w:cs="Times New Roman"/>
          <w:sz w:val="24"/>
          <w:szCs w:val="24"/>
        </w:rPr>
        <w:t>risk-less rate</w:t>
      </w:r>
      <w:r>
        <w:rPr>
          <w:rFonts w:ascii="Times New Roman" w:hAnsi="Times New Roman" w:cs="Times New Roman"/>
          <w:sz w:val="24"/>
          <w:szCs w:val="24"/>
        </w:rPr>
        <w:t>s</w:t>
      </w:r>
      <w:r w:rsidR="00915C65">
        <w:rPr>
          <w:rFonts w:ascii="Times New Roman" w:hAnsi="Times New Roman" w:cs="Times New Roman"/>
          <w:sz w:val="24"/>
          <w:szCs w:val="24"/>
        </w:rPr>
        <w:t xml:space="preserve"> of return </w:t>
      </w:r>
      <w:r>
        <w:rPr>
          <w:rFonts w:ascii="Times New Roman" w:hAnsi="Times New Roman" w:cs="Times New Roman"/>
          <w:sz w:val="24"/>
          <w:szCs w:val="24"/>
        </w:rPr>
        <w:t xml:space="preserve">at </w:t>
      </w:r>
      <w:r w:rsidR="00915C65">
        <w:rPr>
          <w:rFonts w:ascii="Times New Roman" w:hAnsi="Times New Roman" w:cs="Times New Roman"/>
          <w:sz w:val="24"/>
          <w:szCs w:val="24"/>
        </w:rPr>
        <w:t>maturity horizon</w:t>
      </w:r>
      <w:r>
        <w:rPr>
          <w:rFonts w:ascii="Times New Roman" w:hAnsi="Times New Roman" w:cs="Times New Roman"/>
          <w:sz w:val="24"/>
          <w:szCs w:val="24"/>
        </w:rPr>
        <w:t xml:space="preserve">s that are similar to the number of years that pension systems </w:t>
      </w:r>
      <w:r w:rsidR="0058271C">
        <w:rPr>
          <w:rFonts w:ascii="Times New Roman" w:hAnsi="Times New Roman" w:cs="Times New Roman"/>
          <w:sz w:val="24"/>
          <w:szCs w:val="24"/>
        </w:rPr>
        <w:t xml:space="preserve">are </w:t>
      </w:r>
      <w:r>
        <w:rPr>
          <w:rFonts w:ascii="Times New Roman" w:hAnsi="Times New Roman" w:cs="Times New Roman"/>
          <w:sz w:val="24"/>
          <w:szCs w:val="24"/>
        </w:rPr>
        <w:t xml:space="preserve">obligated to pay </w:t>
      </w:r>
      <w:r w:rsidR="0058271C">
        <w:rPr>
          <w:rFonts w:ascii="Times New Roman" w:hAnsi="Times New Roman" w:cs="Times New Roman"/>
          <w:sz w:val="24"/>
          <w:szCs w:val="24"/>
        </w:rPr>
        <w:t xml:space="preserve">their </w:t>
      </w:r>
      <w:r>
        <w:rPr>
          <w:rFonts w:ascii="Times New Roman" w:hAnsi="Times New Roman" w:cs="Times New Roman"/>
          <w:sz w:val="24"/>
          <w:szCs w:val="24"/>
        </w:rPr>
        <w:t>benefits</w:t>
      </w:r>
      <w:r w:rsidR="00915C65">
        <w:rPr>
          <w:rFonts w:ascii="Times New Roman" w:hAnsi="Times New Roman" w:cs="Times New Roman"/>
          <w:sz w:val="24"/>
          <w:szCs w:val="24"/>
        </w:rPr>
        <w:t xml:space="preserve"> (</w:t>
      </w:r>
      <w:proofErr w:type="spellStart"/>
      <w:r w:rsidR="00915C65">
        <w:rPr>
          <w:rFonts w:ascii="Times New Roman" w:hAnsi="Times New Roman" w:cs="Times New Roman"/>
          <w:sz w:val="24"/>
          <w:szCs w:val="24"/>
        </w:rPr>
        <w:t>Novy</w:t>
      </w:r>
      <w:proofErr w:type="spellEnd"/>
      <w:r w:rsidR="00915C65">
        <w:rPr>
          <w:rFonts w:ascii="Times New Roman" w:hAnsi="Times New Roman" w:cs="Times New Roman"/>
          <w:sz w:val="24"/>
          <w:szCs w:val="24"/>
        </w:rPr>
        <w:t xml:space="preserve">-Marx and </w:t>
      </w:r>
      <w:proofErr w:type="spellStart"/>
      <w:r w:rsidR="00915C65">
        <w:rPr>
          <w:rFonts w:ascii="Times New Roman" w:hAnsi="Times New Roman" w:cs="Times New Roman"/>
          <w:sz w:val="24"/>
          <w:szCs w:val="24"/>
        </w:rPr>
        <w:t>Rauh</w:t>
      </w:r>
      <w:proofErr w:type="spellEnd"/>
      <w:r w:rsidR="00915C65">
        <w:rPr>
          <w:rFonts w:ascii="Times New Roman" w:hAnsi="Times New Roman" w:cs="Times New Roman"/>
          <w:sz w:val="24"/>
          <w:szCs w:val="24"/>
        </w:rPr>
        <w:t xml:space="preserve"> </w:t>
      </w:r>
      <w:r w:rsidR="00915C65" w:rsidRPr="0062481C">
        <w:rPr>
          <w:rFonts w:ascii="Times New Roman" w:hAnsi="Times New Roman" w:cs="Times New Roman"/>
          <w:sz w:val="24"/>
          <w:szCs w:val="24"/>
        </w:rPr>
        <w:t>2009, 2011</w:t>
      </w:r>
      <w:r>
        <w:rPr>
          <w:rFonts w:ascii="Times New Roman" w:hAnsi="Times New Roman" w:cs="Times New Roman"/>
          <w:sz w:val="24"/>
          <w:szCs w:val="24"/>
        </w:rPr>
        <w:t xml:space="preserve">). In </w:t>
      </w:r>
      <w:r w:rsidR="0098612E">
        <w:rPr>
          <w:rFonts w:ascii="Times New Roman" w:hAnsi="Times New Roman" w:cs="Times New Roman"/>
          <w:sz w:val="24"/>
          <w:szCs w:val="24"/>
        </w:rPr>
        <w:t xml:space="preserve">recent </w:t>
      </w:r>
      <w:r>
        <w:rPr>
          <w:rFonts w:ascii="Times New Roman" w:hAnsi="Times New Roman" w:cs="Times New Roman"/>
          <w:sz w:val="24"/>
          <w:szCs w:val="24"/>
        </w:rPr>
        <w:t xml:space="preserve">market conditions, this </w:t>
      </w:r>
      <w:r w:rsidR="0098612E">
        <w:rPr>
          <w:rFonts w:ascii="Times New Roman" w:hAnsi="Times New Roman" w:cs="Times New Roman"/>
          <w:sz w:val="24"/>
          <w:szCs w:val="24"/>
        </w:rPr>
        <w:t>may</w:t>
      </w:r>
      <w:r>
        <w:rPr>
          <w:rFonts w:ascii="Times New Roman" w:hAnsi="Times New Roman" w:cs="Times New Roman"/>
          <w:sz w:val="24"/>
          <w:szCs w:val="24"/>
        </w:rPr>
        <w:t xml:space="preserve"> suggest </w:t>
      </w:r>
      <w:r w:rsidR="00915C65">
        <w:rPr>
          <w:rFonts w:ascii="Times New Roman" w:hAnsi="Times New Roman" w:cs="Times New Roman"/>
          <w:sz w:val="24"/>
          <w:szCs w:val="24"/>
        </w:rPr>
        <w:t xml:space="preserve">discount rates that are </w:t>
      </w:r>
      <w:r w:rsidR="00EA1B2B">
        <w:rPr>
          <w:rFonts w:ascii="Times New Roman" w:hAnsi="Times New Roman" w:cs="Times New Roman"/>
          <w:sz w:val="24"/>
          <w:szCs w:val="24"/>
        </w:rPr>
        <w:t>about five</w:t>
      </w:r>
      <w:r w:rsidR="00915C65">
        <w:rPr>
          <w:rFonts w:ascii="Times New Roman" w:hAnsi="Times New Roman" w:cs="Times New Roman"/>
          <w:sz w:val="24"/>
          <w:szCs w:val="24"/>
        </w:rPr>
        <w:t xml:space="preserve"> percent (</w:t>
      </w:r>
      <w:proofErr w:type="spellStart"/>
      <w:r w:rsidR="00915C65" w:rsidRPr="0062481C">
        <w:rPr>
          <w:rFonts w:ascii="Times New Roman" w:hAnsi="Times New Roman" w:cs="Times New Roman"/>
          <w:sz w:val="24"/>
          <w:szCs w:val="24"/>
        </w:rPr>
        <w:t>Munnell</w:t>
      </w:r>
      <w:proofErr w:type="spellEnd"/>
      <w:r>
        <w:rPr>
          <w:rFonts w:ascii="Times New Roman" w:hAnsi="Times New Roman" w:cs="Times New Roman"/>
          <w:sz w:val="24"/>
          <w:szCs w:val="24"/>
        </w:rPr>
        <w:t>, et al.</w:t>
      </w:r>
      <w:r w:rsidR="00915C65">
        <w:rPr>
          <w:rFonts w:ascii="Times New Roman" w:hAnsi="Times New Roman" w:cs="Times New Roman"/>
          <w:sz w:val="24"/>
          <w:szCs w:val="24"/>
        </w:rPr>
        <w:t xml:space="preserve"> 2010). </w:t>
      </w:r>
    </w:p>
    <w:p w14:paraId="5613341B" w14:textId="608AAE16" w:rsidR="00DB3CAB" w:rsidRDefault="00486F0E" w:rsidP="00BA13C3">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GASB 68 </w:t>
      </w:r>
      <w:r w:rsidR="00F80F6C">
        <w:rPr>
          <w:rFonts w:ascii="Times New Roman" w:hAnsi="Times New Roman" w:cs="Times New Roman"/>
          <w:sz w:val="24"/>
          <w:szCs w:val="24"/>
        </w:rPr>
        <w:t xml:space="preserve">permits </w:t>
      </w:r>
      <w:r w:rsidR="00E345D7">
        <w:rPr>
          <w:rFonts w:ascii="Times New Roman" w:hAnsi="Times New Roman" w:cs="Times New Roman"/>
          <w:sz w:val="24"/>
          <w:szCs w:val="24"/>
        </w:rPr>
        <w:t>the use of discount rates that reflect the expected rate of return on long-term investments, so long as the</w:t>
      </w:r>
      <w:r w:rsidR="00341437">
        <w:rPr>
          <w:rFonts w:ascii="Times New Roman" w:hAnsi="Times New Roman" w:cs="Times New Roman"/>
          <w:sz w:val="24"/>
          <w:szCs w:val="24"/>
        </w:rPr>
        <w:t xml:space="preserve"> net position</w:t>
      </w:r>
      <w:r w:rsidR="00E345D7">
        <w:rPr>
          <w:rFonts w:ascii="Times New Roman" w:hAnsi="Times New Roman" w:cs="Times New Roman"/>
          <w:sz w:val="24"/>
          <w:szCs w:val="24"/>
        </w:rPr>
        <w:t>s of pension fund</w:t>
      </w:r>
      <w:r w:rsidR="00F80F6C">
        <w:rPr>
          <w:rFonts w:ascii="Times New Roman" w:hAnsi="Times New Roman" w:cs="Times New Roman"/>
          <w:sz w:val="24"/>
          <w:szCs w:val="24"/>
        </w:rPr>
        <w:t>s</w:t>
      </w:r>
      <w:r w:rsidR="00341437">
        <w:rPr>
          <w:rFonts w:ascii="Times New Roman" w:hAnsi="Times New Roman" w:cs="Times New Roman"/>
          <w:sz w:val="24"/>
          <w:szCs w:val="24"/>
        </w:rPr>
        <w:t xml:space="preserve"> </w:t>
      </w:r>
      <w:r w:rsidR="00F80F6C">
        <w:rPr>
          <w:rFonts w:ascii="Times New Roman" w:hAnsi="Times New Roman" w:cs="Times New Roman"/>
          <w:sz w:val="24"/>
          <w:szCs w:val="24"/>
        </w:rPr>
        <w:t>are</w:t>
      </w:r>
      <w:r w:rsidR="00341437">
        <w:rPr>
          <w:rFonts w:ascii="Times New Roman" w:hAnsi="Times New Roman" w:cs="Times New Roman"/>
          <w:sz w:val="24"/>
          <w:szCs w:val="24"/>
        </w:rPr>
        <w:t xml:space="preserve"> </w:t>
      </w:r>
      <w:r w:rsidR="00DE31F0">
        <w:rPr>
          <w:rFonts w:ascii="Times New Roman" w:hAnsi="Times New Roman" w:cs="Times New Roman"/>
          <w:sz w:val="24"/>
          <w:szCs w:val="24"/>
        </w:rPr>
        <w:t>sufficient</w:t>
      </w:r>
      <w:r w:rsidR="00341437">
        <w:rPr>
          <w:rFonts w:ascii="Times New Roman" w:hAnsi="Times New Roman" w:cs="Times New Roman"/>
          <w:sz w:val="24"/>
          <w:szCs w:val="24"/>
        </w:rPr>
        <w:t xml:space="preserve"> to cover projected benefit payments. </w:t>
      </w:r>
      <w:r w:rsidR="00F80F6C">
        <w:rPr>
          <w:rFonts w:ascii="Times New Roman" w:hAnsi="Times New Roman" w:cs="Times New Roman"/>
          <w:sz w:val="24"/>
          <w:szCs w:val="24"/>
        </w:rPr>
        <w:t>It is not known</w:t>
      </w:r>
      <w:r w:rsidR="00E345D7">
        <w:rPr>
          <w:rFonts w:ascii="Times New Roman" w:hAnsi="Times New Roman" w:cs="Times New Roman"/>
          <w:sz w:val="24"/>
          <w:szCs w:val="24"/>
        </w:rPr>
        <w:t xml:space="preserve">, however, </w:t>
      </w:r>
      <w:r w:rsidR="00DE31F0">
        <w:rPr>
          <w:rFonts w:ascii="Times New Roman" w:hAnsi="Times New Roman" w:cs="Times New Roman"/>
          <w:sz w:val="24"/>
          <w:szCs w:val="24"/>
        </w:rPr>
        <w:t>how plan sponsors and auditors will judge whether their assets are sufficient</w:t>
      </w:r>
      <w:r w:rsidR="00F80F6C">
        <w:rPr>
          <w:rFonts w:ascii="Times New Roman" w:hAnsi="Times New Roman" w:cs="Times New Roman"/>
          <w:sz w:val="24"/>
          <w:szCs w:val="24"/>
        </w:rPr>
        <w:t xml:space="preserve"> to cover projected benefit payments. Some expect </w:t>
      </w:r>
      <w:r w:rsidR="00D54860">
        <w:rPr>
          <w:rFonts w:ascii="Times New Roman" w:hAnsi="Times New Roman" w:cs="Times New Roman"/>
          <w:sz w:val="24"/>
          <w:szCs w:val="24"/>
        </w:rPr>
        <w:t xml:space="preserve">that </w:t>
      </w:r>
      <w:r w:rsidR="0058271C">
        <w:rPr>
          <w:rFonts w:ascii="Times New Roman" w:hAnsi="Times New Roman" w:cs="Times New Roman"/>
          <w:sz w:val="24"/>
          <w:szCs w:val="24"/>
        </w:rPr>
        <w:t>most</w:t>
      </w:r>
      <w:r w:rsidR="00F80F6C">
        <w:rPr>
          <w:rFonts w:ascii="Times New Roman" w:hAnsi="Times New Roman" w:cs="Times New Roman"/>
          <w:sz w:val="24"/>
          <w:szCs w:val="24"/>
        </w:rPr>
        <w:t xml:space="preserve"> </w:t>
      </w:r>
      <w:r w:rsidR="00DE31F0">
        <w:rPr>
          <w:rFonts w:ascii="Times New Roman" w:hAnsi="Times New Roman" w:cs="Times New Roman"/>
          <w:sz w:val="24"/>
          <w:szCs w:val="24"/>
        </w:rPr>
        <w:t>plan sponsors</w:t>
      </w:r>
      <w:r w:rsidR="00F80F6C">
        <w:rPr>
          <w:rFonts w:ascii="Times New Roman" w:hAnsi="Times New Roman" w:cs="Times New Roman"/>
          <w:sz w:val="24"/>
          <w:szCs w:val="24"/>
        </w:rPr>
        <w:t xml:space="preserve"> </w:t>
      </w:r>
      <w:r w:rsidR="00D54860">
        <w:rPr>
          <w:rFonts w:ascii="Times New Roman" w:hAnsi="Times New Roman" w:cs="Times New Roman"/>
          <w:sz w:val="24"/>
          <w:szCs w:val="24"/>
        </w:rPr>
        <w:t xml:space="preserve">will decide </w:t>
      </w:r>
      <w:r w:rsidR="00F80F6C">
        <w:rPr>
          <w:rFonts w:ascii="Times New Roman" w:hAnsi="Times New Roman" w:cs="Times New Roman"/>
          <w:sz w:val="24"/>
          <w:szCs w:val="24"/>
        </w:rPr>
        <w:t xml:space="preserve">that they </w:t>
      </w:r>
      <w:r w:rsidR="00D54860">
        <w:rPr>
          <w:rFonts w:ascii="Times New Roman" w:hAnsi="Times New Roman" w:cs="Times New Roman"/>
          <w:sz w:val="24"/>
          <w:szCs w:val="24"/>
        </w:rPr>
        <w:t>have the ability to cover</w:t>
      </w:r>
      <w:r w:rsidR="00DE31F0">
        <w:rPr>
          <w:rFonts w:ascii="Times New Roman" w:hAnsi="Times New Roman" w:cs="Times New Roman"/>
          <w:sz w:val="24"/>
          <w:szCs w:val="24"/>
        </w:rPr>
        <w:t xml:space="preserve"> their</w:t>
      </w:r>
      <w:r w:rsidR="00D54860">
        <w:rPr>
          <w:rFonts w:ascii="Times New Roman" w:hAnsi="Times New Roman" w:cs="Times New Roman"/>
          <w:sz w:val="24"/>
          <w:szCs w:val="24"/>
        </w:rPr>
        <w:t xml:space="preserve"> benefit payments</w:t>
      </w:r>
      <w:r w:rsidR="0058271C">
        <w:rPr>
          <w:rFonts w:ascii="Times New Roman" w:hAnsi="Times New Roman" w:cs="Times New Roman"/>
          <w:sz w:val="24"/>
          <w:szCs w:val="24"/>
        </w:rPr>
        <w:t xml:space="preserve"> and will keep their </w:t>
      </w:r>
      <w:r w:rsidR="0058271C">
        <w:rPr>
          <w:rFonts w:ascii="Times New Roman" w:hAnsi="Times New Roman" w:cs="Times New Roman"/>
          <w:sz w:val="24"/>
          <w:szCs w:val="24"/>
        </w:rPr>
        <w:lastRenderedPageBreak/>
        <w:t>current discount rates</w:t>
      </w:r>
      <w:r w:rsidR="00D54860">
        <w:rPr>
          <w:rFonts w:ascii="Times New Roman" w:hAnsi="Times New Roman" w:cs="Times New Roman"/>
          <w:sz w:val="24"/>
          <w:szCs w:val="24"/>
        </w:rPr>
        <w:t xml:space="preserve">. </w:t>
      </w:r>
      <w:r w:rsidR="00341437">
        <w:rPr>
          <w:rFonts w:ascii="Times New Roman" w:hAnsi="Times New Roman" w:cs="Times New Roman"/>
          <w:sz w:val="24"/>
          <w:szCs w:val="24"/>
        </w:rPr>
        <w:t xml:space="preserve">If </w:t>
      </w:r>
      <w:r w:rsidR="00DE31F0">
        <w:rPr>
          <w:rFonts w:ascii="Times New Roman" w:hAnsi="Times New Roman" w:cs="Times New Roman"/>
          <w:sz w:val="24"/>
          <w:szCs w:val="24"/>
        </w:rPr>
        <w:t xml:space="preserve">sponsors </w:t>
      </w:r>
      <w:r w:rsidR="00F80F6C">
        <w:rPr>
          <w:rFonts w:ascii="Times New Roman" w:hAnsi="Times New Roman" w:cs="Times New Roman"/>
          <w:sz w:val="24"/>
          <w:szCs w:val="24"/>
        </w:rPr>
        <w:t xml:space="preserve">decide they </w:t>
      </w:r>
      <w:r w:rsidR="0058271C">
        <w:rPr>
          <w:rFonts w:ascii="Times New Roman" w:hAnsi="Times New Roman" w:cs="Times New Roman"/>
          <w:sz w:val="24"/>
          <w:szCs w:val="24"/>
        </w:rPr>
        <w:t xml:space="preserve">do not </w:t>
      </w:r>
      <w:r w:rsidR="00DE31F0">
        <w:rPr>
          <w:rFonts w:ascii="Times New Roman" w:hAnsi="Times New Roman" w:cs="Times New Roman"/>
          <w:sz w:val="24"/>
          <w:szCs w:val="24"/>
        </w:rPr>
        <w:t xml:space="preserve">have sufficient assets, </w:t>
      </w:r>
      <w:r w:rsidR="00F80F6C">
        <w:rPr>
          <w:rFonts w:ascii="Times New Roman" w:hAnsi="Times New Roman" w:cs="Times New Roman"/>
          <w:sz w:val="24"/>
          <w:szCs w:val="24"/>
        </w:rPr>
        <w:t xml:space="preserve">they need to </w:t>
      </w:r>
      <w:r w:rsidR="00D54860">
        <w:rPr>
          <w:rFonts w:ascii="Times New Roman" w:hAnsi="Times New Roman" w:cs="Times New Roman"/>
          <w:sz w:val="24"/>
          <w:szCs w:val="24"/>
        </w:rPr>
        <w:t xml:space="preserve">calculate </w:t>
      </w:r>
      <w:r w:rsidR="00F80F6C">
        <w:rPr>
          <w:rFonts w:ascii="Times New Roman" w:hAnsi="Times New Roman" w:cs="Times New Roman"/>
          <w:sz w:val="24"/>
          <w:szCs w:val="24"/>
        </w:rPr>
        <w:t>a blended discount rate</w:t>
      </w:r>
      <w:r w:rsidR="00D54860">
        <w:rPr>
          <w:rFonts w:ascii="Times New Roman" w:hAnsi="Times New Roman" w:cs="Times New Roman"/>
          <w:sz w:val="24"/>
          <w:szCs w:val="24"/>
        </w:rPr>
        <w:t xml:space="preserve"> that is based on </w:t>
      </w:r>
      <w:r w:rsidR="00F80F6C">
        <w:rPr>
          <w:rFonts w:ascii="Times New Roman" w:hAnsi="Times New Roman" w:cs="Times New Roman"/>
          <w:sz w:val="24"/>
          <w:szCs w:val="24"/>
        </w:rPr>
        <w:t xml:space="preserve">a weighted average of long-term </w:t>
      </w:r>
      <w:r w:rsidR="0058271C">
        <w:rPr>
          <w:rFonts w:ascii="Times New Roman" w:hAnsi="Times New Roman" w:cs="Times New Roman"/>
          <w:sz w:val="24"/>
          <w:szCs w:val="24"/>
        </w:rPr>
        <w:t xml:space="preserve">and short-term </w:t>
      </w:r>
      <w:r w:rsidR="00F80F6C">
        <w:rPr>
          <w:rFonts w:ascii="Times New Roman" w:hAnsi="Times New Roman" w:cs="Times New Roman"/>
          <w:sz w:val="24"/>
          <w:szCs w:val="24"/>
        </w:rPr>
        <w:t>yield</w:t>
      </w:r>
      <w:r w:rsidR="00D54860">
        <w:rPr>
          <w:rFonts w:ascii="Times New Roman" w:hAnsi="Times New Roman" w:cs="Times New Roman"/>
          <w:sz w:val="24"/>
          <w:szCs w:val="24"/>
        </w:rPr>
        <w:t>s</w:t>
      </w:r>
      <w:r w:rsidR="00F80F6C">
        <w:rPr>
          <w:rFonts w:ascii="Times New Roman" w:hAnsi="Times New Roman" w:cs="Times New Roman"/>
          <w:sz w:val="24"/>
          <w:szCs w:val="24"/>
        </w:rPr>
        <w:t xml:space="preserve">. </w:t>
      </w:r>
      <w:r w:rsidR="00D54860">
        <w:rPr>
          <w:rFonts w:ascii="Times New Roman" w:hAnsi="Times New Roman" w:cs="Times New Roman"/>
          <w:sz w:val="24"/>
          <w:szCs w:val="24"/>
        </w:rPr>
        <w:t>B</w:t>
      </w:r>
      <w:r w:rsidR="00F80F6C">
        <w:rPr>
          <w:rFonts w:ascii="Times New Roman" w:hAnsi="Times New Roman" w:cs="Times New Roman"/>
          <w:sz w:val="24"/>
          <w:szCs w:val="24"/>
        </w:rPr>
        <w:t>lended rate</w:t>
      </w:r>
      <w:r w:rsidR="00D54860">
        <w:rPr>
          <w:rFonts w:ascii="Times New Roman" w:hAnsi="Times New Roman" w:cs="Times New Roman"/>
          <w:sz w:val="24"/>
          <w:szCs w:val="24"/>
        </w:rPr>
        <w:t>s</w:t>
      </w:r>
      <w:r w:rsidR="00F80F6C">
        <w:rPr>
          <w:rFonts w:ascii="Times New Roman" w:hAnsi="Times New Roman" w:cs="Times New Roman"/>
          <w:sz w:val="24"/>
          <w:szCs w:val="24"/>
        </w:rPr>
        <w:t xml:space="preserve"> </w:t>
      </w:r>
      <w:r w:rsidR="00D54860">
        <w:rPr>
          <w:rFonts w:ascii="Times New Roman" w:hAnsi="Times New Roman" w:cs="Times New Roman"/>
          <w:sz w:val="24"/>
          <w:szCs w:val="24"/>
        </w:rPr>
        <w:t xml:space="preserve">will </w:t>
      </w:r>
      <w:r w:rsidR="00F80F6C">
        <w:rPr>
          <w:rFonts w:ascii="Times New Roman" w:hAnsi="Times New Roman" w:cs="Times New Roman"/>
          <w:sz w:val="24"/>
          <w:szCs w:val="24"/>
        </w:rPr>
        <w:t>be lower than the usual 8 percent</w:t>
      </w:r>
      <w:r w:rsidR="00D54860">
        <w:rPr>
          <w:rFonts w:ascii="Times New Roman" w:hAnsi="Times New Roman" w:cs="Times New Roman"/>
          <w:sz w:val="24"/>
          <w:szCs w:val="24"/>
        </w:rPr>
        <w:t>, but how much lower is unknown</w:t>
      </w:r>
      <w:r w:rsidR="00DE31F0">
        <w:rPr>
          <w:rFonts w:ascii="Times New Roman" w:hAnsi="Times New Roman" w:cs="Times New Roman"/>
          <w:sz w:val="24"/>
          <w:szCs w:val="24"/>
        </w:rPr>
        <w:t>.</w:t>
      </w:r>
    </w:p>
    <w:p w14:paraId="54FA04FE" w14:textId="08A8CD88" w:rsidR="00DE31F0" w:rsidRDefault="00380A4F" w:rsidP="007770D9">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0A684B">
        <w:rPr>
          <w:rFonts w:ascii="Times New Roman" w:hAnsi="Times New Roman" w:cs="Times New Roman"/>
          <w:b/>
          <w:i/>
          <w:sz w:val="24"/>
          <w:szCs w:val="24"/>
        </w:rPr>
        <w:t>S</w:t>
      </w:r>
      <w:r w:rsidR="007770D9" w:rsidRPr="00F80F6C">
        <w:rPr>
          <w:rFonts w:ascii="Times New Roman" w:hAnsi="Times New Roman" w:cs="Times New Roman"/>
          <w:b/>
          <w:i/>
          <w:sz w:val="24"/>
          <w:szCs w:val="24"/>
        </w:rPr>
        <w:t>alary g</w:t>
      </w:r>
      <w:r w:rsidR="000E112C" w:rsidRPr="00F80F6C">
        <w:rPr>
          <w:rFonts w:ascii="Times New Roman" w:hAnsi="Times New Roman" w:cs="Times New Roman"/>
          <w:b/>
          <w:i/>
          <w:sz w:val="24"/>
          <w:szCs w:val="24"/>
        </w:rPr>
        <w:t>rowth rat</w:t>
      </w:r>
      <w:r w:rsidR="00D54860">
        <w:rPr>
          <w:rFonts w:ascii="Times New Roman" w:hAnsi="Times New Roman" w:cs="Times New Roman"/>
          <w:b/>
          <w:i/>
          <w:sz w:val="24"/>
          <w:szCs w:val="24"/>
        </w:rPr>
        <w:t>es</w:t>
      </w:r>
      <w:r w:rsidR="000E112C">
        <w:rPr>
          <w:rFonts w:ascii="Times New Roman" w:hAnsi="Times New Roman" w:cs="Times New Roman"/>
          <w:sz w:val="24"/>
          <w:szCs w:val="24"/>
        </w:rPr>
        <w:t xml:space="preserve"> </w:t>
      </w:r>
      <w:r w:rsidR="000A684B">
        <w:rPr>
          <w:rFonts w:ascii="Times New Roman" w:hAnsi="Times New Roman" w:cs="Times New Roman"/>
          <w:sz w:val="24"/>
          <w:szCs w:val="24"/>
        </w:rPr>
        <w:t xml:space="preserve">are used to </w:t>
      </w:r>
      <w:r w:rsidR="007770D9">
        <w:rPr>
          <w:rFonts w:ascii="Times New Roman" w:hAnsi="Times New Roman" w:cs="Times New Roman"/>
          <w:sz w:val="24"/>
          <w:szCs w:val="24"/>
        </w:rPr>
        <w:t>predict</w:t>
      </w:r>
      <w:r w:rsidR="000A684B">
        <w:rPr>
          <w:rFonts w:ascii="Times New Roman" w:hAnsi="Times New Roman" w:cs="Times New Roman"/>
          <w:sz w:val="24"/>
          <w:szCs w:val="24"/>
        </w:rPr>
        <w:t xml:space="preserve"> the geometric growth in</w:t>
      </w:r>
      <w:r w:rsidR="007770D9">
        <w:rPr>
          <w:rFonts w:ascii="Times New Roman" w:hAnsi="Times New Roman" w:cs="Times New Roman"/>
          <w:sz w:val="24"/>
          <w:szCs w:val="24"/>
        </w:rPr>
        <w:t xml:space="preserve"> </w:t>
      </w:r>
      <w:r w:rsidR="00D54860">
        <w:rPr>
          <w:rFonts w:ascii="Times New Roman" w:hAnsi="Times New Roman" w:cs="Times New Roman"/>
          <w:sz w:val="24"/>
          <w:szCs w:val="24"/>
        </w:rPr>
        <w:t>employee</w:t>
      </w:r>
      <w:r w:rsidR="000E112C">
        <w:rPr>
          <w:rFonts w:ascii="Times New Roman" w:hAnsi="Times New Roman" w:cs="Times New Roman"/>
          <w:sz w:val="24"/>
          <w:szCs w:val="24"/>
        </w:rPr>
        <w:t xml:space="preserve"> salaries</w:t>
      </w:r>
      <w:r w:rsidR="007770D9">
        <w:rPr>
          <w:rFonts w:ascii="Times New Roman" w:hAnsi="Times New Roman" w:cs="Times New Roman"/>
          <w:sz w:val="24"/>
          <w:szCs w:val="24"/>
        </w:rPr>
        <w:t xml:space="preserve">. </w:t>
      </w:r>
      <w:r w:rsidR="00D54860">
        <w:rPr>
          <w:rFonts w:ascii="Times New Roman" w:hAnsi="Times New Roman" w:cs="Times New Roman"/>
          <w:sz w:val="24"/>
          <w:szCs w:val="24"/>
        </w:rPr>
        <w:t>M</w:t>
      </w:r>
      <w:r w:rsidR="00320342">
        <w:rPr>
          <w:rFonts w:ascii="Times New Roman" w:hAnsi="Times New Roman" w:cs="Times New Roman"/>
          <w:sz w:val="24"/>
          <w:szCs w:val="24"/>
        </w:rPr>
        <w:t xml:space="preserve">ost pension </w:t>
      </w:r>
      <w:r w:rsidR="001C7633">
        <w:rPr>
          <w:rFonts w:ascii="Times New Roman" w:hAnsi="Times New Roman" w:cs="Times New Roman"/>
          <w:sz w:val="24"/>
          <w:szCs w:val="24"/>
        </w:rPr>
        <w:t>plans</w:t>
      </w:r>
      <w:r w:rsidR="00C64BB1">
        <w:rPr>
          <w:rFonts w:ascii="Times New Roman" w:hAnsi="Times New Roman" w:cs="Times New Roman"/>
          <w:sz w:val="24"/>
          <w:szCs w:val="24"/>
        </w:rPr>
        <w:t xml:space="preserve"> calculate</w:t>
      </w:r>
      <w:r w:rsidR="001C7633">
        <w:rPr>
          <w:rFonts w:ascii="Times New Roman" w:hAnsi="Times New Roman" w:cs="Times New Roman"/>
          <w:sz w:val="24"/>
          <w:szCs w:val="24"/>
        </w:rPr>
        <w:t xml:space="preserve"> pension benefits as a function of (i) years of service, (ii) a measure of employees’ average salaries (usually the average of the highest three to five years of salary income), and (iii) a benefit multiplier.  </w:t>
      </w:r>
      <w:r w:rsidR="00DE31F0">
        <w:rPr>
          <w:rFonts w:ascii="Times New Roman" w:hAnsi="Times New Roman" w:cs="Times New Roman"/>
          <w:sz w:val="24"/>
          <w:szCs w:val="24"/>
        </w:rPr>
        <w:t xml:space="preserve">For example, a public employee with 30 years of service and whose final average salary is $85,000 with a 2 percent benefit multiplier will qualify for a $51,000 annual annuity in retirement (30 </w:t>
      </w:r>
      <w:r w:rsidR="00BB0751">
        <w:rPr>
          <w:rFonts w:ascii="Times New Roman" w:hAnsi="Times New Roman" w:cs="Times New Roman"/>
          <w:sz w:val="24"/>
          <w:szCs w:val="24"/>
        </w:rPr>
        <w:t>×</w:t>
      </w:r>
      <w:r w:rsidR="00DE31F0">
        <w:rPr>
          <w:rFonts w:ascii="Times New Roman" w:hAnsi="Times New Roman" w:cs="Times New Roman"/>
          <w:sz w:val="24"/>
          <w:szCs w:val="24"/>
        </w:rPr>
        <w:t xml:space="preserve"> $85,000 </w:t>
      </w:r>
      <w:r w:rsidR="00BB0751">
        <w:rPr>
          <w:rFonts w:ascii="Times New Roman" w:hAnsi="Times New Roman" w:cs="Times New Roman"/>
          <w:sz w:val="24"/>
          <w:szCs w:val="24"/>
        </w:rPr>
        <w:t xml:space="preserve">× </w:t>
      </w:r>
      <w:r w:rsidR="00DE31F0">
        <w:rPr>
          <w:rFonts w:ascii="Times New Roman" w:hAnsi="Times New Roman" w:cs="Times New Roman"/>
          <w:sz w:val="24"/>
          <w:szCs w:val="24"/>
        </w:rPr>
        <w:t xml:space="preserve">.02). </w:t>
      </w:r>
    </w:p>
    <w:p w14:paraId="39C2C9E0" w14:textId="171E3827" w:rsidR="0086294C" w:rsidRDefault="00DE31F0" w:rsidP="007770D9">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1C7633">
        <w:rPr>
          <w:rFonts w:ascii="Times New Roman" w:hAnsi="Times New Roman" w:cs="Times New Roman"/>
          <w:sz w:val="24"/>
          <w:szCs w:val="24"/>
        </w:rPr>
        <w:t>H</w:t>
      </w:r>
      <w:r w:rsidR="0086294C">
        <w:rPr>
          <w:rFonts w:ascii="Times New Roman" w:hAnsi="Times New Roman" w:cs="Times New Roman"/>
          <w:sz w:val="24"/>
          <w:szCs w:val="24"/>
        </w:rPr>
        <w:t>igher salary growth rate</w:t>
      </w:r>
      <w:r w:rsidR="001C7633">
        <w:rPr>
          <w:rFonts w:ascii="Times New Roman" w:hAnsi="Times New Roman" w:cs="Times New Roman"/>
          <w:sz w:val="24"/>
          <w:szCs w:val="24"/>
        </w:rPr>
        <w:t xml:space="preserve">s increase </w:t>
      </w:r>
      <w:r w:rsidR="0086294C">
        <w:rPr>
          <w:rFonts w:ascii="Times New Roman" w:hAnsi="Times New Roman" w:cs="Times New Roman"/>
          <w:sz w:val="24"/>
          <w:szCs w:val="24"/>
        </w:rPr>
        <w:t>the predicted final average salar</w:t>
      </w:r>
      <w:r w:rsidR="001C7633">
        <w:rPr>
          <w:rFonts w:ascii="Times New Roman" w:hAnsi="Times New Roman" w:cs="Times New Roman"/>
          <w:sz w:val="24"/>
          <w:szCs w:val="24"/>
        </w:rPr>
        <w:t>ies. This</w:t>
      </w:r>
      <w:r w:rsidR="0058271C">
        <w:rPr>
          <w:rFonts w:ascii="Times New Roman" w:hAnsi="Times New Roman" w:cs="Times New Roman"/>
          <w:sz w:val="24"/>
          <w:szCs w:val="24"/>
        </w:rPr>
        <w:t xml:space="preserve"> is expected to</w:t>
      </w:r>
      <w:r w:rsidR="001C7633">
        <w:rPr>
          <w:rFonts w:ascii="Times New Roman" w:hAnsi="Times New Roman" w:cs="Times New Roman"/>
          <w:sz w:val="24"/>
          <w:szCs w:val="24"/>
        </w:rPr>
        <w:t xml:space="preserve"> </w:t>
      </w:r>
      <w:r w:rsidR="0086294C">
        <w:rPr>
          <w:rFonts w:ascii="Times New Roman" w:hAnsi="Times New Roman" w:cs="Times New Roman"/>
          <w:sz w:val="24"/>
          <w:szCs w:val="24"/>
        </w:rPr>
        <w:t xml:space="preserve">lead </w:t>
      </w:r>
      <w:r w:rsidR="00C64BB1">
        <w:rPr>
          <w:rFonts w:ascii="Times New Roman" w:hAnsi="Times New Roman" w:cs="Times New Roman"/>
          <w:sz w:val="24"/>
          <w:szCs w:val="24"/>
        </w:rPr>
        <w:t>to higher pension liabilities, lower funding ratios</w:t>
      </w:r>
      <w:r w:rsidR="00F80F6C">
        <w:rPr>
          <w:rFonts w:ascii="Times New Roman" w:hAnsi="Times New Roman" w:cs="Times New Roman"/>
          <w:sz w:val="24"/>
          <w:szCs w:val="24"/>
        </w:rPr>
        <w:t>,</w:t>
      </w:r>
      <w:r w:rsidR="00C64BB1">
        <w:rPr>
          <w:rFonts w:ascii="Times New Roman" w:hAnsi="Times New Roman" w:cs="Times New Roman"/>
          <w:sz w:val="24"/>
          <w:szCs w:val="24"/>
        </w:rPr>
        <w:t xml:space="preserve"> and </w:t>
      </w:r>
      <w:r w:rsidR="0086294C">
        <w:rPr>
          <w:rFonts w:ascii="Times New Roman" w:hAnsi="Times New Roman" w:cs="Times New Roman"/>
          <w:sz w:val="24"/>
          <w:szCs w:val="24"/>
        </w:rPr>
        <w:t xml:space="preserve">higher </w:t>
      </w:r>
      <w:r>
        <w:rPr>
          <w:rFonts w:ascii="Times New Roman" w:hAnsi="Times New Roman" w:cs="Times New Roman"/>
          <w:sz w:val="24"/>
          <w:szCs w:val="24"/>
        </w:rPr>
        <w:t>contribution requirements</w:t>
      </w:r>
      <w:r w:rsidR="0086294C">
        <w:rPr>
          <w:rFonts w:ascii="Times New Roman" w:hAnsi="Times New Roman" w:cs="Times New Roman"/>
          <w:sz w:val="24"/>
          <w:szCs w:val="24"/>
        </w:rPr>
        <w:t>.</w:t>
      </w:r>
      <w:r w:rsidR="007758F0">
        <w:rPr>
          <w:rFonts w:ascii="Times New Roman" w:hAnsi="Times New Roman" w:cs="Times New Roman"/>
          <w:sz w:val="24"/>
          <w:szCs w:val="24"/>
        </w:rPr>
        <w:t xml:space="preserve"> </w:t>
      </w:r>
      <w:r w:rsidR="00F80F6C">
        <w:rPr>
          <w:rFonts w:ascii="Times New Roman" w:hAnsi="Times New Roman" w:cs="Times New Roman"/>
          <w:sz w:val="24"/>
          <w:szCs w:val="24"/>
        </w:rPr>
        <w:t>Table 1</w:t>
      </w:r>
      <w:r w:rsidR="007758F0">
        <w:rPr>
          <w:rFonts w:ascii="Times New Roman" w:hAnsi="Times New Roman" w:cs="Times New Roman"/>
          <w:sz w:val="24"/>
          <w:szCs w:val="24"/>
        </w:rPr>
        <w:t xml:space="preserve"> shows that </w:t>
      </w:r>
      <w:r w:rsidR="00BB0751">
        <w:rPr>
          <w:rFonts w:ascii="Times New Roman" w:hAnsi="Times New Roman" w:cs="Times New Roman"/>
          <w:sz w:val="24"/>
          <w:szCs w:val="24"/>
        </w:rPr>
        <w:t xml:space="preserve">the typical </w:t>
      </w:r>
      <w:r>
        <w:rPr>
          <w:rFonts w:ascii="Times New Roman" w:hAnsi="Times New Roman" w:cs="Times New Roman"/>
          <w:sz w:val="24"/>
          <w:szCs w:val="24"/>
        </w:rPr>
        <w:t xml:space="preserve">range in </w:t>
      </w:r>
      <w:r w:rsidR="007758F0">
        <w:rPr>
          <w:rFonts w:ascii="Times New Roman" w:hAnsi="Times New Roman" w:cs="Times New Roman"/>
          <w:sz w:val="24"/>
          <w:szCs w:val="24"/>
        </w:rPr>
        <w:t>salary growth rate</w:t>
      </w:r>
      <w:r>
        <w:rPr>
          <w:rFonts w:ascii="Times New Roman" w:hAnsi="Times New Roman" w:cs="Times New Roman"/>
          <w:sz w:val="24"/>
          <w:szCs w:val="24"/>
        </w:rPr>
        <w:t xml:space="preserve"> assumption</w:t>
      </w:r>
      <w:r w:rsidR="00F80F6C">
        <w:rPr>
          <w:rFonts w:ascii="Times New Roman" w:hAnsi="Times New Roman" w:cs="Times New Roman"/>
          <w:sz w:val="24"/>
          <w:szCs w:val="24"/>
        </w:rPr>
        <w:t>s</w:t>
      </w:r>
      <w:r w:rsidR="007758F0">
        <w:rPr>
          <w:rFonts w:ascii="Times New Roman" w:hAnsi="Times New Roman" w:cs="Times New Roman"/>
          <w:sz w:val="24"/>
          <w:szCs w:val="24"/>
        </w:rPr>
        <w:t xml:space="preserve"> </w:t>
      </w:r>
      <w:r>
        <w:rPr>
          <w:rFonts w:ascii="Times New Roman" w:hAnsi="Times New Roman" w:cs="Times New Roman"/>
          <w:sz w:val="24"/>
          <w:szCs w:val="24"/>
        </w:rPr>
        <w:t xml:space="preserve">is </w:t>
      </w:r>
      <w:r w:rsidR="0058271C">
        <w:rPr>
          <w:rFonts w:ascii="Times New Roman" w:hAnsi="Times New Roman" w:cs="Times New Roman"/>
          <w:sz w:val="24"/>
          <w:szCs w:val="24"/>
        </w:rPr>
        <w:t>3</w:t>
      </w:r>
      <w:r w:rsidR="00F80F6C">
        <w:rPr>
          <w:rFonts w:ascii="Times New Roman" w:hAnsi="Times New Roman" w:cs="Times New Roman"/>
          <w:sz w:val="24"/>
          <w:szCs w:val="24"/>
        </w:rPr>
        <w:t xml:space="preserve"> </w:t>
      </w:r>
      <w:r w:rsidR="007758F0">
        <w:rPr>
          <w:rFonts w:ascii="Times New Roman" w:hAnsi="Times New Roman" w:cs="Times New Roman"/>
          <w:sz w:val="24"/>
          <w:szCs w:val="24"/>
        </w:rPr>
        <w:t>to 8</w:t>
      </w:r>
      <w:r>
        <w:rPr>
          <w:rFonts w:ascii="Times New Roman" w:hAnsi="Times New Roman" w:cs="Times New Roman"/>
          <w:sz w:val="24"/>
          <w:szCs w:val="24"/>
        </w:rPr>
        <w:t xml:space="preserve"> percent</w:t>
      </w:r>
      <w:r w:rsidR="007758F0">
        <w:rPr>
          <w:rFonts w:ascii="Times New Roman" w:hAnsi="Times New Roman" w:cs="Times New Roman"/>
          <w:sz w:val="24"/>
          <w:szCs w:val="24"/>
        </w:rPr>
        <w:t xml:space="preserve"> </w:t>
      </w:r>
      <w:r>
        <w:rPr>
          <w:rFonts w:ascii="Times New Roman" w:hAnsi="Times New Roman" w:cs="Times New Roman"/>
          <w:sz w:val="24"/>
          <w:szCs w:val="24"/>
        </w:rPr>
        <w:t>and the</w:t>
      </w:r>
      <w:r w:rsidR="007758F0">
        <w:rPr>
          <w:rFonts w:ascii="Times New Roman" w:hAnsi="Times New Roman" w:cs="Times New Roman"/>
          <w:sz w:val="24"/>
          <w:szCs w:val="24"/>
        </w:rPr>
        <w:t xml:space="preserve"> median </w:t>
      </w:r>
      <w:r>
        <w:rPr>
          <w:rFonts w:ascii="Times New Roman" w:hAnsi="Times New Roman" w:cs="Times New Roman"/>
          <w:sz w:val="24"/>
          <w:szCs w:val="24"/>
        </w:rPr>
        <w:t>assumption is</w:t>
      </w:r>
      <w:r w:rsidR="007758F0">
        <w:rPr>
          <w:rFonts w:ascii="Times New Roman" w:hAnsi="Times New Roman" w:cs="Times New Roman"/>
          <w:sz w:val="24"/>
          <w:szCs w:val="24"/>
        </w:rPr>
        <w:t xml:space="preserve"> </w:t>
      </w:r>
      <w:r w:rsidR="0058271C">
        <w:rPr>
          <w:rFonts w:ascii="Times New Roman" w:hAnsi="Times New Roman" w:cs="Times New Roman"/>
          <w:sz w:val="24"/>
          <w:szCs w:val="24"/>
        </w:rPr>
        <w:t>6</w:t>
      </w:r>
      <w:r w:rsidR="00F80F6C">
        <w:rPr>
          <w:rFonts w:ascii="Times New Roman" w:hAnsi="Times New Roman" w:cs="Times New Roman"/>
          <w:sz w:val="24"/>
          <w:szCs w:val="24"/>
        </w:rPr>
        <w:t xml:space="preserve"> percent</w:t>
      </w:r>
      <w:r w:rsidR="007758F0">
        <w:rPr>
          <w:rFonts w:ascii="Times New Roman" w:hAnsi="Times New Roman" w:cs="Times New Roman"/>
          <w:sz w:val="24"/>
          <w:szCs w:val="24"/>
        </w:rPr>
        <w:t>.</w:t>
      </w:r>
      <w:r w:rsidR="0086294C">
        <w:rPr>
          <w:rFonts w:ascii="Times New Roman" w:hAnsi="Times New Roman" w:cs="Times New Roman"/>
          <w:sz w:val="24"/>
          <w:szCs w:val="24"/>
        </w:rPr>
        <w:t xml:space="preserve"> </w:t>
      </w:r>
      <w:r w:rsidR="00320342">
        <w:rPr>
          <w:rFonts w:ascii="Times New Roman" w:hAnsi="Times New Roman" w:cs="Times New Roman"/>
          <w:sz w:val="24"/>
          <w:szCs w:val="24"/>
        </w:rPr>
        <w:t xml:space="preserve">Neither </w:t>
      </w:r>
      <w:r w:rsidR="0086294C">
        <w:rPr>
          <w:rFonts w:ascii="Times New Roman" w:hAnsi="Times New Roman" w:cs="Times New Roman"/>
          <w:sz w:val="24"/>
          <w:szCs w:val="24"/>
        </w:rPr>
        <w:t xml:space="preserve">GASB </w:t>
      </w:r>
      <w:r w:rsidR="00320342">
        <w:rPr>
          <w:rFonts w:ascii="Times New Roman" w:hAnsi="Times New Roman" w:cs="Times New Roman"/>
          <w:sz w:val="24"/>
          <w:szCs w:val="24"/>
        </w:rPr>
        <w:t xml:space="preserve">27 nor 68 </w:t>
      </w:r>
      <w:r w:rsidR="0086294C">
        <w:rPr>
          <w:rFonts w:ascii="Times New Roman" w:hAnsi="Times New Roman" w:cs="Times New Roman"/>
          <w:sz w:val="24"/>
          <w:szCs w:val="24"/>
        </w:rPr>
        <w:t>provide</w:t>
      </w:r>
      <w:r w:rsidR="00320342">
        <w:rPr>
          <w:rFonts w:ascii="Times New Roman" w:hAnsi="Times New Roman" w:cs="Times New Roman"/>
          <w:sz w:val="24"/>
          <w:szCs w:val="24"/>
        </w:rPr>
        <w:t xml:space="preserve"> </w:t>
      </w:r>
      <w:r w:rsidR="002303CA">
        <w:rPr>
          <w:rFonts w:ascii="Times New Roman" w:hAnsi="Times New Roman" w:cs="Times New Roman"/>
          <w:sz w:val="24"/>
          <w:szCs w:val="24"/>
        </w:rPr>
        <w:t xml:space="preserve">numerical </w:t>
      </w:r>
      <w:r w:rsidR="00F80F6C">
        <w:rPr>
          <w:rFonts w:ascii="Times New Roman" w:hAnsi="Times New Roman" w:cs="Times New Roman"/>
          <w:sz w:val="24"/>
          <w:szCs w:val="24"/>
        </w:rPr>
        <w:t>standards</w:t>
      </w:r>
      <w:r w:rsidR="002303CA">
        <w:rPr>
          <w:rFonts w:ascii="Times New Roman" w:hAnsi="Times New Roman" w:cs="Times New Roman"/>
          <w:sz w:val="24"/>
          <w:szCs w:val="24"/>
        </w:rPr>
        <w:t xml:space="preserve"> for </w:t>
      </w:r>
      <w:r w:rsidR="0058271C">
        <w:rPr>
          <w:rFonts w:ascii="Times New Roman" w:hAnsi="Times New Roman" w:cs="Times New Roman"/>
          <w:sz w:val="24"/>
          <w:szCs w:val="24"/>
        </w:rPr>
        <w:t>the selection of the</w:t>
      </w:r>
      <w:r w:rsidR="00320342">
        <w:rPr>
          <w:rFonts w:ascii="Times New Roman" w:hAnsi="Times New Roman" w:cs="Times New Roman"/>
          <w:sz w:val="24"/>
          <w:szCs w:val="24"/>
        </w:rPr>
        <w:t xml:space="preserve"> salary </w:t>
      </w:r>
      <w:r w:rsidR="00F80F6C">
        <w:rPr>
          <w:rFonts w:ascii="Times New Roman" w:hAnsi="Times New Roman" w:cs="Times New Roman"/>
          <w:sz w:val="24"/>
          <w:szCs w:val="24"/>
        </w:rPr>
        <w:t>growth</w:t>
      </w:r>
      <w:r w:rsidR="00320342">
        <w:rPr>
          <w:rFonts w:ascii="Times New Roman" w:hAnsi="Times New Roman" w:cs="Times New Roman"/>
          <w:sz w:val="24"/>
          <w:szCs w:val="24"/>
        </w:rPr>
        <w:t xml:space="preserve"> rate</w:t>
      </w:r>
      <w:r w:rsidR="0058271C">
        <w:rPr>
          <w:rFonts w:ascii="Times New Roman" w:hAnsi="Times New Roman" w:cs="Times New Roman"/>
          <w:sz w:val="24"/>
          <w:szCs w:val="24"/>
        </w:rPr>
        <w:t xml:space="preserve"> assumption</w:t>
      </w:r>
      <w:r w:rsidR="00F80F6C">
        <w:rPr>
          <w:rFonts w:ascii="Times New Roman" w:hAnsi="Times New Roman" w:cs="Times New Roman"/>
          <w:sz w:val="24"/>
          <w:szCs w:val="24"/>
        </w:rPr>
        <w:t xml:space="preserve">, though </w:t>
      </w:r>
      <w:r w:rsidR="0086294C">
        <w:rPr>
          <w:rFonts w:ascii="Times New Roman" w:hAnsi="Times New Roman" w:cs="Times New Roman"/>
          <w:sz w:val="24"/>
          <w:szCs w:val="24"/>
        </w:rPr>
        <w:t xml:space="preserve">GASB 68 </w:t>
      </w:r>
      <w:r w:rsidR="00F80F6C">
        <w:rPr>
          <w:rFonts w:ascii="Times New Roman" w:hAnsi="Times New Roman" w:cs="Times New Roman"/>
          <w:sz w:val="24"/>
          <w:szCs w:val="24"/>
        </w:rPr>
        <w:t xml:space="preserve">does require </w:t>
      </w:r>
      <w:r w:rsidR="0086294C">
        <w:rPr>
          <w:rFonts w:ascii="Times New Roman" w:hAnsi="Times New Roman" w:cs="Times New Roman"/>
          <w:sz w:val="24"/>
          <w:szCs w:val="24"/>
        </w:rPr>
        <w:t xml:space="preserve">that future benefit payments consider </w:t>
      </w:r>
      <w:r w:rsidR="0086294C" w:rsidRPr="00A66B49">
        <w:rPr>
          <w:rFonts w:ascii="Times New Roman" w:hAnsi="Times New Roman" w:cs="Times New Roman"/>
          <w:sz w:val="24"/>
          <w:szCs w:val="24"/>
        </w:rPr>
        <w:t>expected future salary changes</w:t>
      </w:r>
      <w:r w:rsidR="0086294C">
        <w:rPr>
          <w:rFonts w:ascii="Times New Roman" w:hAnsi="Times New Roman" w:cs="Times New Roman"/>
          <w:sz w:val="24"/>
          <w:szCs w:val="24"/>
        </w:rPr>
        <w:t>.</w:t>
      </w:r>
    </w:p>
    <w:p w14:paraId="4C6331AD" w14:textId="7298994D" w:rsidR="00C04E79" w:rsidRDefault="00DE31F0" w:rsidP="00DE31F0">
      <w:pPr>
        <w:spacing w:after="0" w:line="480" w:lineRule="auto"/>
        <w:ind w:firstLine="720"/>
        <w:contextualSpacing/>
        <w:rPr>
          <w:rFonts w:ascii="Times New Roman" w:hAnsi="Times New Roman" w:cs="Times New Roman"/>
          <w:sz w:val="24"/>
          <w:szCs w:val="24"/>
        </w:rPr>
      </w:pPr>
      <w:r w:rsidRPr="009231AA">
        <w:rPr>
          <w:rFonts w:ascii="Times New Roman" w:hAnsi="Times New Roman" w:cs="Times New Roman"/>
          <w:b/>
          <w:i/>
          <w:sz w:val="24"/>
          <w:szCs w:val="24"/>
        </w:rPr>
        <w:t>Mortality tabl</w:t>
      </w:r>
      <w:r>
        <w:rPr>
          <w:rFonts w:ascii="Times New Roman" w:hAnsi="Times New Roman" w:cs="Times New Roman"/>
          <w:b/>
          <w:i/>
          <w:sz w:val="24"/>
          <w:szCs w:val="24"/>
        </w:rPr>
        <w:t>es</w:t>
      </w:r>
      <w:r>
        <w:rPr>
          <w:rFonts w:ascii="Times New Roman" w:hAnsi="Times New Roman" w:cs="Times New Roman"/>
          <w:sz w:val="24"/>
          <w:szCs w:val="24"/>
        </w:rPr>
        <w:t xml:space="preserve"> (not shown </w:t>
      </w:r>
      <w:r w:rsidR="0058271C">
        <w:rPr>
          <w:rFonts w:ascii="Times New Roman" w:hAnsi="Times New Roman" w:cs="Times New Roman"/>
          <w:sz w:val="24"/>
          <w:szCs w:val="24"/>
        </w:rPr>
        <w:t xml:space="preserve">in </w:t>
      </w:r>
      <w:r w:rsidR="00FD6B93">
        <w:rPr>
          <w:rFonts w:ascii="Times New Roman" w:hAnsi="Times New Roman" w:cs="Times New Roman"/>
          <w:sz w:val="24"/>
          <w:szCs w:val="24"/>
        </w:rPr>
        <w:t>t</w:t>
      </w:r>
      <w:r>
        <w:rPr>
          <w:rFonts w:ascii="Times New Roman" w:hAnsi="Times New Roman" w:cs="Times New Roman"/>
          <w:sz w:val="24"/>
          <w:szCs w:val="24"/>
        </w:rPr>
        <w:t xml:space="preserve">ables 1 or 2 because </w:t>
      </w:r>
      <w:r w:rsidR="00CB7D33">
        <w:rPr>
          <w:rFonts w:ascii="Times New Roman" w:hAnsi="Times New Roman" w:cs="Times New Roman"/>
          <w:sz w:val="24"/>
          <w:szCs w:val="24"/>
        </w:rPr>
        <w:t>they are</w:t>
      </w:r>
      <w:r>
        <w:rPr>
          <w:rFonts w:ascii="Times New Roman" w:hAnsi="Times New Roman" w:cs="Times New Roman"/>
          <w:sz w:val="24"/>
          <w:szCs w:val="24"/>
        </w:rPr>
        <w:t xml:space="preserve"> not </w:t>
      </w:r>
      <w:r w:rsidR="00BB0751">
        <w:rPr>
          <w:rFonts w:ascii="Times New Roman" w:hAnsi="Times New Roman" w:cs="Times New Roman"/>
          <w:sz w:val="24"/>
          <w:szCs w:val="24"/>
        </w:rPr>
        <w:t>reported</w:t>
      </w:r>
      <w:r>
        <w:rPr>
          <w:rFonts w:ascii="Times New Roman" w:hAnsi="Times New Roman" w:cs="Times New Roman"/>
          <w:sz w:val="24"/>
          <w:szCs w:val="24"/>
        </w:rPr>
        <w:t xml:space="preserve"> in the P</w:t>
      </w:r>
      <w:r w:rsidR="0058271C">
        <w:rPr>
          <w:rFonts w:ascii="Times New Roman" w:hAnsi="Times New Roman" w:cs="Times New Roman"/>
          <w:sz w:val="24"/>
          <w:szCs w:val="24"/>
        </w:rPr>
        <w:t>P</w:t>
      </w:r>
      <w:r>
        <w:rPr>
          <w:rFonts w:ascii="Times New Roman" w:hAnsi="Times New Roman" w:cs="Times New Roman"/>
          <w:sz w:val="24"/>
          <w:szCs w:val="24"/>
        </w:rPr>
        <w:t xml:space="preserve">D) are </w:t>
      </w:r>
      <w:r w:rsidR="00BB0751">
        <w:rPr>
          <w:rFonts w:ascii="Times New Roman" w:hAnsi="Times New Roman" w:cs="Times New Roman"/>
          <w:sz w:val="24"/>
          <w:szCs w:val="24"/>
        </w:rPr>
        <w:t xml:space="preserve">used to project the likelihood that employees will remain in the plan long enough to receive their benefits and to evaluate the expected life expectancy after retirement. </w:t>
      </w:r>
      <w:r>
        <w:rPr>
          <w:rFonts w:ascii="Times New Roman" w:hAnsi="Times New Roman" w:cs="Times New Roman"/>
          <w:sz w:val="24"/>
          <w:szCs w:val="24"/>
        </w:rPr>
        <w:t xml:space="preserve">With </w:t>
      </w:r>
      <w:r w:rsidR="00BB0751">
        <w:rPr>
          <w:rFonts w:ascii="Times New Roman" w:hAnsi="Times New Roman" w:cs="Times New Roman"/>
          <w:sz w:val="24"/>
          <w:szCs w:val="24"/>
        </w:rPr>
        <w:t>an</w:t>
      </w:r>
      <w:r>
        <w:rPr>
          <w:rFonts w:ascii="Times New Roman" w:hAnsi="Times New Roman" w:cs="Times New Roman"/>
          <w:sz w:val="24"/>
          <w:szCs w:val="24"/>
        </w:rPr>
        <w:t xml:space="preserve"> aging population and the retirement of baby boomers, there are concerns that some public pension systems calculate their liabilities bas</w:t>
      </w:r>
      <w:r w:rsidR="00F20C5F">
        <w:rPr>
          <w:rFonts w:ascii="Times New Roman" w:hAnsi="Times New Roman" w:cs="Times New Roman"/>
          <w:sz w:val="24"/>
          <w:szCs w:val="24"/>
        </w:rPr>
        <w:t>ed on outdated mortality tables</w:t>
      </w:r>
      <w:r>
        <w:rPr>
          <w:rFonts w:ascii="Times New Roman" w:hAnsi="Times New Roman" w:cs="Times New Roman"/>
          <w:sz w:val="24"/>
          <w:szCs w:val="24"/>
        </w:rPr>
        <w:t xml:space="preserve">. </w:t>
      </w:r>
      <w:r w:rsidR="00CB7D33">
        <w:rPr>
          <w:rFonts w:ascii="Times New Roman" w:hAnsi="Times New Roman" w:cs="Times New Roman"/>
          <w:sz w:val="24"/>
          <w:szCs w:val="24"/>
        </w:rPr>
        <w:t>Because li</w:t>
      </w:r>
      <w:r w:rsidR="00BB0751">
        <w:rPr>
          <w:rFonts w:ascii="Times New Roman" w:hAnsi="Times New Roman" w:cs="Times New Roman"/>
          <w:sz w:val="24"/>
          <w:szCs w:val="24"/>
        </w:rPr>
        <w:t>f</w:t>
      </w:r>
      <w:r w:rsidR="00CB7D33">
        <w:rPr>
          <w:rFonts w:ascii="Times New Roman" w:hAnsi="Times New Roman" w:cs="Times New Roman"/>
          <w:sz w:val="24"/>
          <w:szCs w:val="24"/>
        </w:rPr>
        <w:t xml:space="preserve">e expectancies continue to increase, </w:t>
      </w:r>
      <w:r w:rsidR="00C04E79">
        <w:rPr>
          <w:rFonts w:ascii="Times New Roman" w:hAnsi="Times New Roman" w:cs="Times New Roman"/>
          <w:sz w:val="24"/>
          <w:szCs w:val="24"/>
        </w:rPr>
        <w:t xml:space="preserve">the most recent </w:t>
      </w:r>
      <w:r>
        <w:rPr>
          <w:rFonts w:ascii="Times New Roman" w:hAnsi="Times New Roman" w:cs="Times New Roman"/>
          <w:sz w:val="24"/>
          <w:szCs w:val="24"/>
        </w:rPr>
        <w:t xml:space="preserve">mortality tables </w:t>
      </w:r>
      <w:r w:rsidR="00C04E79">
        <w:rPr>
          <w:rFonts w:ascii="Times New Roman" w:hAnsi="Times New Roman" w:cs="Times New Roman"/>
          <w:sz w:val="24"/>
          <w:szCs w:val="24"/>
        </w:rPr>
        <w:t>tend to increase</w:t>
      </w:r>
      <w:r>
        <w:rPr>
          <w:rFonts w:ascii="Times New Roman" w:hAnsi="Times New Roman" w:cs="Times New Roman"/>
          <w:sz w:val="24"/>
          <w:szCs w:val="24"/>
        </w:rPr>
        <w:t xml:space="preserve"> the expectation </w:t>
      </w:r>
      <w:r w:rsidR="00C04E79">
        <w:rPr>
          <w:rFonts w:ascii="Times New Roman" w:hAnsi="Times New Roman" w:cs="Times New Roman"/>
          <w:sz w:val="24"/>
          <w:szCs w:val="24"/>
        </w:rPr>
        <w:t xml:space="preserve">that employees will survive long enough to receive their retirement benefits and then receive more benefit payments after retirement. </w:t>
      </w:r>
    </w:p>
    <w:p w14:paraId="188605C3" w14:textId="28838A67" w:rsidR="00DE31F0" w:rsidRDefault="00C04E79" w:rsidP="00C04E79">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ab/>
      </w:r>
      <w:r w:rsidR="00DE31F0">
        <w:rPr>
          <w:rFonts w:ascii="Times New Roman" w:hAnsi="Times New Roman" w:cs="Times New Roman"/>
          <w:sz w:val="24"/>
          <w:szCs w:val="24"/>
        </w:rPr>
        <w:t xml:space="preserve">Accounting standards require </w:t>
      </w:r>
      <w:r>
        <w:rPr>
          <w:rFonts w:ascii="Times New Roman" w:hAnsi="Times New Roman" w:cs="Times New Roman"/>
          <w:sz w:val="24"/>
          <w:szCs w:val="24"/>
        </w:rPr>
        <w:t xml:space="preserve">sponsors to </w:t>
      </w:r>
      <w:r w:rsidR="00DE31F0">
        <w:rPr>
          <w:rFonts w:ascii="Times New Roman" w:hAnsi="Times New Roman" w:cs="Times New Roman"/>
          <w:sz w:val="24"/>
          <w:szCs w:val="24"/>
        </w:rPr>
        <w:t xml:space="preserve">disclosure </w:t>
      </w:r>
      <w:r>
        <w:rPr>
          <w:rFonts w:ascii="Times New Roman" w:hAnsi="Times New Roman" w:cs="Times New Roman"/>
          <w:sz w:val="24"/>
          <w:szCs w:val="24"/>
        </w:rPr>
        <w:t>information on the mortality table they use to value their liabilities, but those standards do not specify what mortality table should be used. Based on our review of</w:t>
      </w:r>
      <w:r w:rsidR="00BB0751">
        <w:rPr>
          <w:rFonts w:ascii="Times New Roman" w:hAnsi="Times New Roman" w:cs="Times New Roman"/>
          <w:sz w:val="24"/>
          <w:szCs w:val="24"/>
        </w:rPr>
        <w:t xml:space="preserve"> state </w:t>
      </w:r>
      <w:r>
        <w:rPr>
          <w:rFonts w:ascii="Times New Roman" w:hAnsi="Times New Roman" w:cs="Times New Roman"/>
          <w:sz w:val="24"/>
          <w:szCs w:val="24"/>
        </w:rPr>
        <w:t>pension systems’ annual reports, most plans adopt</w:t>
      </w:r>
      <w:r w:rsidR="0058271C">
        <w:rPr>
          <w:rFonts w:ascii="Times New Roman" w:hAnsi="Times New Roman" w:cs="Times New Roman"/>
          <w:sz w:val="24"/>
          <w:szCs w:val="24"/>
        </w:rPr>
        <w:t xml:space="preserve"> </w:t>
      </w:r>
      <w:r>
        <w:rPr>
          <w:rFonts w:ascii="Times New Roman" w:hAnsi="Times New Roman" w:cs="Times New Roman"/>
          <w:sz w:val="24"/>
          <w:szCs w:val="24"/>
        </w:rPr>
        <w:t>mortality tables produced by the Society of Actuaries (SOA), often with adjustments based on plans' experiences. O</w:t>
      </w:r>
      <w:r w:rsidR="00DE31F0">
        <w:rPr>
          <w:rFonts w:ascii="Times New Roman" w:hAnsi="Times New Roman" w:cs="Times New Roman"/>
          <w:sz w:val="24"/>
          <w:szCs w:val="24"/>
        </w:rPr>
        <w:t>ur simulation</w:t>
      </w:r>
      <w:r>
        <w:rPr>
          <w:rFonts w:ascii="Times New Roman" w:hAnsi="Times New Roman" w:cs="Times New Roman"/>
          <w:sz w:val="24"/>
          <w:szCs w:val="24"/>
        </w:rPr>
        <w:t xml:space="preserve"> looks at </w:t>
      </w:r>
      <w:r w:rsidR="00DE31F0">
        <w:rPr>
          <w:rFonts w:ascii="Times New Roman" w:hAnsi="Times New Roman" w:cs="Times New Roman"/>
          <w:sz w:val="24"/>
          <w:szCs w:val="24"/>
        </w:rPr>
        <w:t xml:space="preserve">three SOA mortality tables: RP-2000, RP-2000 </w:t>
      </w:r>
      <w:r w:rsidR="002946C7">
        <w:rPr>
          <w:rFonts w:ascii="Times New Roman" w:hAnsi="Times New Roman" w:cs="Times New Roman"/>
          <w:sz w:val="24"/>
          <w:szCs w:val="24"/>
        </w:rPr>
        <w:t>with 10 y</w:t>
      </w:r>
      <w:r w:rsidR="002946C7" w:rsidRPr="002946C7">
        <w:rPr>
          <w:rFonts w:ascii="Times New Roman" w:hAnsi="Times New Roman" w:cs="Times New Roman"/>
          <w:sz w:val="24"/>
          <w:szCs w:val="24"/>
        </w:rPr>
        <w:t xml:space="preserve">ears </w:t>
      </w:r>
      <w:r w:rsidR="002946C7">
        <w:rPr>
          <w:rFonts w:ascii="Times New Roman" w:hAnsi="Times New Roman" w:cs="Times New Roman"/>
          <w:sz w:val="24"/>
          <w:szCs w:val="24"/>
        </w:rPr>
        <w:t>projection u</w:t>
      </w:r>
      <w:r w:rsidR="002946C7" w:rsidRPr="002946C7">
        <w:rPr>
          <w:rFonts w:ascii="Times New Roman" w:hAnsi="Times New Roman" w:cs="Times New Roman"/>
          <w:sz w:val="24"/>
          <w:szCs w:val="24"/>
        </w:rPr>
        <w:t xml:space="preserve">sing </w:t>
      </w:r>
      <w:r w:rsidR="002946C7">
        <w:rPr>
          <w:rFonts w:ascii="Times New Roman" w:hAnsi="Times New Roman" w:cs="Times New Roman"/>
          <w:sz w:val="24"/>
          <w:szCs w:val="24"/>
        </w:rPr>
        <w:t>s</w:t>
      </w:r>
      <w:r w:rsidR="002946C7" w:rsidRPr="002946C7">
        <w:rPr>
          <w:rFonts w:ascii="Times New Roman" w:hAnsi="Times New Roman" w:cs="Times New Roman"/>
          <w:sz w:val="24"/>
          <w:szCs w:val="24"/>
        </w:rPr>
        <w:t>cale AA</w:t>
      </w:r>
      <w:r w:rsidR="002946C7">
        <w:rPr>
          <w:rFonts w:ascii="Times New Roman" w:hAnsi="Times New Roman" w:cs="Times New Roman"/>
          <w:sz w:val="24"/>
          <w:szCs w:val="24"/>
        </w:rPr>
        <w:t>,</w:t>
      </w:r>
      <w:r w:rsidR="00DE31F0">
        <w:rPr>
          <w:rFonts w:ascii="Times New Roman" w:hAnsi="Times New Roman" w:cs="Times New Roman"/>
          <w:sz w:val="24"/>
          <w:szCs w:val="24"/>
        </w:rPr>
        <w:t xml:space="preserve"> and RP-2014. The first two </w:t>
      </w:r>
      <w:r>
        <w:rPr>
          <w:rFonts w:ascii="Times New Roman" w:hAnsi="Times New Roman" w:cs="Times New Roman"/>
          <w:sz w:val="24"/>
          <w:szCs w:val="24"/>
        </w:rPr>
        <w:t xml:space="preserve">SOA mortality </w:t>
      </w:r>
      <w:r w:rsidR="00DE31F0">
        <w:rPr>
          <w:rFonts w:ascii="Times New Roman" w:hAnsi="Times New Roman" w:cs="Times New Roman"/>
          <w:sz w:val="24"/>
          <w:szCs w:val="24"/>
        </w:rPr>
        <w:t xml:space="preserve">tables are widely used by public pension systems. For example, the Illinois Teachers Retirement System uses RP-2000 with </w:t>
      </w:r>
      <w:r>
        <w:rPr>
          <w:rFonts w:ascii="Times New Roman" w:hAnsi="Times New Roman" w:cs="Times New Roman"/>
          <w:sz w:val="24"/>
          <w:szCs w:val="24"/>
        </w:rPr>
        <w:t>a nine-</w:t>
      </w:r>
      <w:r w:rsidR="00DE31F0">
        <w:rPr>
          <w:rFonts w:ascii="Times New Roman" w:hAnsi="Times New Roman" w:cs="Times New Roman"/>
          <w:sz w:val="24"/>
          <w:szCs w:val="24"/>
        </w:rPr>
        <w:t>year projection</w:t>
      </w:r>
      <w:r w:rsidR="002946C7">
        <w:rPr>
          <w:rFonts w:ascii="Times New Roman" w:hAnsi="Times New Roman" w:cs="Times New Roman"/>
          <w:sz w:val="24"/>
          <w:szCs w:val="24"/>
        </w:rPr>
        <w:t xml:space="preserve"> using scale AA</w:t>
      </w:r>
      <w:r w:rsidR="00DE31F0">
        <w:rPr>
          <w:rFonts w:ascii="Times New Roman" w:hAnsi="Times New Roman" w:cs="Times New Roman"/>
          <w:sz w:val="24"/>
          <w:szCs w:val="24"/>
        </w:rPr>
        <w:t xml:space="preserve"> (</w:t>
      </w:r>
      <w:r w:rsidRPr="002946C7">
        <w:rPr>
          <w:rFonts w:ascii="Times New Roman" w:hAnsi="Times New Roman" w:cs="Times New Roman"/>
          <w:sz w:val="24"/>
          <w:szCs w:val="24"/>
        </w:rPr>
        <w:t>Illinois</w:t>
      </w:r>
      <w:r w:rsidR="002946C7" w:rsidRPr="002946C7">
        <w:rPr>
          <w:rFonts w:ascii="Times New Roman" w:hAnsi="Times New Roman" w:cs="Times New Roman"/>
          <w:sz w:val="24"/>
          <w:szCs w:val="24"/>
        </w:rPr>
        <w:t xml:space="preserve"> TRS</w:t>
      </w:r>
      <w:r w:rsidRPr="002946C7">
        <w:rPr>
          <w:rFonts w:ascii="Times New Roman" w:hAnsi="Times New Roman" w:cs="Times New Roman"/>
          <w:sz w:val="24"/>
          <w:szCs w:val="24"/>
        </w:rPr>
        <w:t xml:space="preserve"> 201</w:t>
      </w:r>
      <w:r w:rsidR="002946C7" w:rsidRPr="002946C7">
        <w:rPr>
          <w:rFonts w:ascii="Times New Roman" w:hAnsi="Times New Roman" w:cs="Times New Roman"/>
          <w:sz w:val="24"/>
          <w:szCs w:val="24"/>
        </w:rPr>
        <w:t>3</w:t>
      </w:r>
      <w:r w:rsidR="00DE31F0">
        <w:rPr>
          <w:rFonts w:ascii="Times New Roman" w:hAnsi="Times New Roman" w:cs="Times New Roman"/>
          <w:sz w:val="24"/>
          <w:szCs w:val="24"/>
        </w:rPr>
        <w:t>). Georgia state pension systems use RP-2000</w:t>
      </w:r>
      <w:r w:rsidR="002946C7">
        <w:rPr>
          <w:rFonts w:ascii="Times New Roman" w:hAnsi="Times New Roman" w:cs="Times New Roman"/>
          <w:sz w:val="24"/>
          <w:szCs w:val="24"/>
        </w:rPr>
        <w:t xml:space="preserve"> with adjustments</w:t>
      </w:r>
      <w:r w:rsidR="00DE31F0">
        <w:rPr>
          <w:rFonts w:ascii="Times New Roman" w:hAnsi="Times New Roman" w:cs="Times New Roman"/>
          <w:sz w:val="24"/>
          <w:szCs w:val="24"/>
        </w:rPr>
        <w:t xml:space="preserve"> (</w:t>
      </w:r>
      <w:r w:rsidRPr="002946C7">
        <w:rPr>
          <w:rFonts w:ascii="Times New Roman" w:hAnsi="Times New Roman" w:cs="Times New Roman"/>
          <w:sz w:val="24"/>
          <w:szCs w:val="24"/>
        </w:rPr>
        <w:t>Georgia ERS 201</w:t>
      </w:r>
      <w:r w:rsidR="002946C7" w:rsidRPr="002946C7">
        <w:rPr>
          <w:rFonts w:ascii="Times New Roman" w:hAnsi="Times New Roman" w:cs="Times New Roman"/>
          <w:sz w:val="24"/>
          <w:szCs w:val="24"/>
        </w:rPr>
        <w:t>3</w:t>
      </w:r>
      <w:r w:rsidR="00DE31F0">
        <w:rPr>
          <w:rFonts w:ascii="Times New Roman" w:hAnsi="Times New Roman" w:cs="Times New Roman"/>
          <w:sz w:val="24"/>
          <w:szCs w:val="24"/>
        </w:rPr>
        <w:t>). The third SO</w:t>
      </w:r>
      <w:r w:rsidR="004E23B2">
        <w:rPr>
          <w:rFonts w:ascii="Times New Roman" w:hAnsi="Times New Roman" w:cs="Times New Roman"/>
          <w:sz w:val="24"/>
          <w:szCs w:val="24"/>
        </w:rPr>
        <w:t>A mortality table, RP-2014</w:t>
      </w:r>
      <w:r w:rsidR="004E23B2" w:rsidRPr="00764310">
        <w:rPr>
          <w:rFonts w:ascii="Times New Roman" w:hAnsi="Times New Roman" w:cs="Times New Roman"/>
          <w:sz w:val="24"/>
          <w:szCs w:val="24"/>
        </w:rPr>
        <w:t>, was</w:t>
      </w:r>
      <w:r w:rsidRPr="00764310">
        <w:rPr>
          <w:rFonts w:ascii="Times New Roman" w:hAnsi="Times New Roman" w:cs="Times New Roman"/>
          <w:sz w:val="24"/>
          <w:szCs w:val="24"/>
        </w:rPr>
        <w:t xml:space="preserve"> </w:t>
      </w:r>
      <w:r w:rsidR="00DE31F0" w:rsidRPr="00764310">
        <w:rPr>
          <w:rFonts w:ascii="Times New Roman" w:hAnsi="Times New Roman" w:cs="Times New Roman"/>
          <w:sz w:val="24"/>
          <w:szCs w:val="24"/>
        </w:rPr>
        <w:t xml:space="preserve">published </w:t>
      </w:r>
      <w:r w:rsidR="004E23B2" w:rsidRPr="00764310">
        <w:rPr>
          <w:rFonts w:ascii="Times New Roman" w:hAnsi="Times New Roman" w:cs="Times New Roman"/>
          <w:sz w:val="24"/>
          <w:szCs w:val="24"/>
        </w:rPr>
        <w:t xml:space="preserve">in February 2014 as an exposure draft, </w:t>
      </w:r>
      <w:r w:rsidR="00DE31F0" w:rsidRPr="00764310">
        <w:rPr>
          <w:rFonts w:ascii="Times New Roman" w:hAnsi="Times New Roman" w:cs="Times New Roman"/>
          <w:sz w:val="24"/>
          <w:szCs w:val="24"/>
        </w:rPr>
        <w:t xml:space="preserve">and </w:t>
      </w:r>
      <w:r w:rsidR="00DE31F0">
        <w:rPr>
          <w:rFonts w:ascii="Times New Roman" w:hAnsi="Times New Roman" w:cs="Times New Roman"/>
          <w:sz w:val="24"/>
          <w:szCs w:val="24"/>
        </w:rPr>
        <w:t>will likely be adopted, or considered for adoption, by public pension systems in the coming years.</w:t>
      </w:r>
    </w:p>
    <w:p w14:paraId="16AFD444" w14:textId="59616BDB" w:rsidR="00BB0751" w:rsidRDefault="009522A9" w:rsidP="004F3654">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4F3654" w:rsidRPr="00C37F0F">
        <w:rPr>
          <w:rFonts w:ascii="Times New Roman" w:hAnsi="Times New Roman" w:cs="Times New Roman"/>
          <w:b/>
          <w:i/>
          <w:sz w:val="24"/>
          <w:szCs w:val="24"/>
        </w:rPr>
        <w:t>Actuarial cost methods</w:t>
      </w:r>
      <w:r w:rsidR="00420836">
        <w:rPr>
          <w:rFonts w:ascii="Times New Roman" w:hAnsi="Times New Roman" w:cs="Times New Roman"/>
          <w:sz w:val="24"/>
          <w:szCs w:val="24"/>
        </w:rPr>
        <w:t xml:space="preserve"> are used to determine the </w:t>
      </w:r>
      <w:r w:rsidR="00CB7D33">
        <w:rPr>
          <w:rFonts w:ascii="Times New Roman" w:hAnsi="Times New Roman" w:cs="Times New Roman"/>
          <w:sz w:val="24"/>
          <w:szCs w:val="24"/>
        </w:rPr>
        <w:t>normal cost</w:t>
      </w:r>
      <w:r w:rsidR="00420836">
        <w:rPr>
          <w:rFonts w:ascii="Times New Roman" w:hAnsi="Times New Roman" w:cs="Times New Roman"/>
          <w:sz w:val="24"/>
          <w:szCs w:val="24"/>
        </w:rPr>
        <w:t xml:space="preserve"> for each year of employee service</w:t>
      </w:r>
      <w:r w:rsidR="004F3654">
        <w:rPr>
          <w:rFonts w:ascii="Times New Roman" w:hAnsi="Times New Roman" w:cs="Times New Roman"/>
          <w:sz w:val="24"/>
          <w:szCs w:val="24"/>
        </w:rPr>
        <w:t xml:space="preserve">. Cost methods can allocate the </w:t>
      </w:r>
      <w:r w:rsidR="004F3654" w:rsidRPr="00764310">
        <w:rPr>
          <w:rFonts w:ascii="Times New Roman" w:hAnsi="Times New Roman" w:cs="Times New Roman"/>
          <w:i/>
          <w:sz w:val="24"/>
          <w:szCs w:val="24"/>
        </w:rPr>
        <w:t>benefits</w:t>
      </w:r>
      <w:r w:rsidR="001C7633">
        <w:rPr>
          <w:rFonts w:ascii="Times New Roman" w:hAnsi="Times New Roman" w:cs="Times New Roman"/>
          <w:sz w:val="24"/>
          <w:szCs w:val="24"/>
        </w:rPr>
        <w:t xml:space="preserve"> over employees’ service periods</w:t>
      </w:r>
      <w:r w:rsidR="00420836">
        <w:rPr>
          <w:rFonts w:ascii="Times New Roman" w:hAnsi="Times New Roman" w:cs="Times New Roman"/>
          <w:sz w:val="24"/>
          <w:szCs w:val="24"/>
        </w:rPr>
        <w:t xml:space="preserve">, </w:t>
      </w:r>
      <w:r w:rsidR="004F3654">
        <w:rPr>
          <w:rFonts w:ascii="Times New Roman" w:hAnsi="Times New Roman" w:cs="Times New Roman"/>
          <w:sz w:val="24"/>
          <w:szCs w:val="24"/>
        </w:rPr>
        <w:t xml:space="preserve">such as </w:t>
      </w:r>
      <w:r w:rsidR="001C7633">
        <w:rPr>
          <w:rFonts w:ascii="Times New Roman" w:hAnsi="Times New Roman" w:cs="Times New Roman"/>
          <w:sz w:val="24"/>
          <w:szCs w:val="24"/>
        </w:rPr>
        <w:t xml:space="preserve">with </w:t>
      </w:r>
      <w:r w:rsidR="007170E3">
        <w:rPr>
          <w:rFonts w:ascii="Times New Roman" w:hAnsi="Times New Roman" w:cs="Times New Roman"/>
          <w:sz w:val="24"/>
          <w:szCs w:val="24"/>
        </w:rPr>
        <w:t>P</w:t>
      </w:r>
      <w:r w:rsidR="004F3654">
        <w:rPr>
          <w:rFonts w:ascii="Times New Roman" w:hAnsi="Times New Roman" w:cs="Times New Roman"/>
          <w:sz w:val="24"/>
          <w:szCs w:val="24"/>
        </w:rPr>
        <w:t xml:space="preserve">rojected </w:t>
      </w:r>
      <w:r w:rsidR="007170E3">
        <w:rPr>
          <w:rFonts w:ascii="Times New Roman" w:hAnsi="Times New Roman" w:cs="Times New Roman"/>
          <w:sz w:val="24"/>
          <w:szCs w:val="24"/>
        </w:rPr>
        <w:t>U</w:t>
      </w:r>
      <w:r w:rsidR="004F3654">
        <w:rPr>
          <w:rFonts w:ascii="Times New Roman" w:hAnsi="Times New Roman" w:cs="Times New Roman"/>
          <w:sz w:val="24"/>
          <w:szCs w:val="24"/>
        </w:rPr>
        <w:t xml:space="preserve">nit </w:t>
      </w:r>
      <w:r w:rsidR="007170E3">
        <w:rPr>
          <w:rFonts w:ascii="Times New Roman" w:hAnsi="Times New Roman" w:cs="Times New Roman"/>
          <w:sz w:val="24"/>
          <w:szCs w:val="24"/>
        </w:rPr>
        <w:t>C</w:t>
      </w:r>
      <w:r w:rsidR="004F3654">
        <w:rPr>
          <w:rFonts w:ascii="Times New Roman" w:hAnsi="Times New Roman" w:cs="Times New Roman"/>
          <w:sz w:val="24"/>
          <w:szCs w:val="24"/>
        </w:rPr>
        <w:t>redit</w:t>
      </w:r>
      <w:r w:rsidR="00420836">
        <w:rPr>
          <w:rFonts w:ascii="Times New Roman" w:hAnsi="Times New Roman" w:cs="Times New Roman"/>
          <w:sz w:val="24"/>
          <w:szCs w:val="24"/>
        </w:rPr>
        <w:t xml:space="preserve"> (PUC), or allocate the </w:t>
      </w:r>
      <w:r w:rsidR="00420836" w:rsidRPr="00764310">
        <w:rPr>
          <w:rFonts w:ascii="Times New Roman" w:hAnsi="Times New Roman" w:cs="Times New Roman"/>
          <w:i/>
          <w:sz w:val="24"/>
          <w:szCs w:val="24"/>
        </w:rPr>
        <w:t>costs</w:t>
      </w:r>
      <w:r w:rsidR="001C7633">
        <w:rPr>
          <w:rFonts w:ascii="Times New Roman" w:hAnsi="Times New Roman" w:cs="Times New Roman"/>
          <w:sz w:val="24"/>
          <w:szCs w:val="24"/>
        </w:rPr>
        <w:t xml:space="preserve"> over service periods</w:t>
      </w:r>
      <w:r w:rsidR="00420836">
        <w:rPr>
          <w:rFonts w:ascii="Times New Roman" w:hAnsi="Times New Roman" w:cs="Times New Roman"/>
          <w:sz w:val="24"/>
          <w:szCs w:val="24"/>
        </w:rPr>
        <w:t xml:space="preserve">, </w:t>
      </w:r>
      <w:r w:rsidR="004F3654">
        <w:rPr>
          <w:rFonts w:ascii="Times New Roman" w:hAnsi="Times New Roman" w:cs="Times New Roman"/>
          <w:sz w:val="24"/>
          <w:szCs w:val="24"/>
        </w:rPr>
        <w:t xml:space="preserve">such as </w:t>
      </w:r>
      <w:r w:rsidR="001C7633">
        <w:rPr>
          <w:rFonts w:ascii="Times New Roman" w:hAnsi="Times New Roman" w:cs="Times New Roman"/>
          <w:sz w:val="24"/>
          <w:szCs w:val="24"/>
        </w:rPr>
        <w:t xml:space="preserve">with </w:t>
      </w:r>
      <w:r w:rsidR="007170E3">
        <w:rPr>
          <w:rFonts w:ascii="Times New Roman" w:hAnsi="Times New Roman" w:cs="Times New Roman"/>
          <w:sz w:val="24"/>
          <w:szCs w:val="24"/>
        </w:rPr>
        <w:t>E</w:t>
      </w:r>
      <w:r w:rsidR="004F3654">
        <w:rPr>
          <w:rFonts w:ascii="Times New Roman" w:hAnsi="Times New Roman" w:cs="Times New Roman"/>
          <w:sz w:val="24"/>
          <w:szCs w:val="24"/>
        </w:rPr>
        <w:t xml:space="preserve">ntry </w:t>
      </w:r>
      <w:r w:rsidR="007170E3">
        <w:rPr>
          <w:rFonts w:ascii="Times New Roman" w:hAnsi="Times New Roman" w:cs="Times New Roman"/>
          <w:sz w:val="24"/>
          <w:szCs w:val="24"/>
        </w:rPr>
        <w:t>A</w:t>
      </w:r>
      <w:r w:rsidR="004F3654">
        <w:rPr>
          <w:rFonts w:ascii="Times New Roman" w:hAnsi="Times New Roman" w:cs="Times New Roman"/>
          <w:sz w:val="24"/>
          <w:szCs w:val="24"/>
        </w:rPr>
        <w:t xml:space="preserve">ge </w:t>
      </w:r>
      <w:r w:rsidR="007170E3">
        <w:rPr>
          <w:rFonts w:ascii="Times New Roman" w:hAnsi="Times New Roman" w:cs="Times New Roman"/>
          <w:sz w:val="24"/>
          <w:szCs w:val="24"/>
        </w:rPr>
        <w:t>N</w:t>
      </w:r>
      <w:r w:rsidR="004F3654">
        <w:rPr>
          <w:rFonts w:ascii="Times New Roman" w:hAnsi="Times New Roman" w:cs="Times New Roman"/>
          <w:sz w:val="24"/>
          <w:szCs w:val="24"/>
        </w:rPr>
        <w:t>ormal</w:t>
      </w:r>
      <w:r w:rsidR="00420836">
        <w:rPr>
          <w:rFonts w:ascii="Times New Roman" w:hAnsi="Times New Roman" w:cs="Times New Roman"/>
          <w:sz w:val="24"/>
          <w:szCs w:val="24"/>
        </w:rPr>
        <w:t xml:space="preserve"> (</w:t>
      </w:r>
      <w:r w:rsidR="007170E3">
        <w:rPr>
          <w:rFonts w:ascii="Times New Roman" w:hAnsi="Times New Roman" w:cs="Times New Roman"/>
          <w:sz w:val="24"/>
          <w:szCs w:val="24"/>
        </w:rPr>
        <w:t>EAN</w:t>
      </w:r>
      <w:r w:rsidR="00420836">
        <w:rPr>
          <w:rFonts w:ascii="Times New Roman" w:hAnsi="Times New Roman" w:cs="Times New Roman"/>
          <w:sz w:val="24"/>
          <w:szCs w:val="24"/>
        </w:rPr>
        <w:t>)</w:t>
      </w:r>
      <w:r w:rsidR="007170E3">
        <w:rPr>
          <w:rFonts w:ascii="Times New Roman" w:hAnsi="Times New Roman" w:cs="Times New Roman"/>
          <w:sz w:val="24"/>
          <w:szCs w:val="24"/>
        </w:rPr>
        <w:t xml:space="preserve"> and Aggregate C</w:t>
      </w:r>
      <w:r w:rsidR="00FC1E03">
        <w:rPr>
          <w:rFonts w:ascii="Times New Roman" w:hAnsi="Times New Roman" w:cs="Times New Roman"/>
          <w:sz w:val="24"/>
          <w:szCs w:val="24"/>
        </w:rPr>
        <w:t>ost</w:t>
      </w:r>
      <w:r w:rsidR="00420836">
        <w:rPr>
          <w:rFonts w:ascii="Times New Roman" w:hAnsi="Times New Roman" w:cs="Times New Roman"/>
          <w:sz w:val="24"/>
          <w:szCs w:val="24"/>
        </w:rPr>
        <w:t xml:space="preserve"> (</w:t>
      </w:r>
      <w:r w:rsidR="007170E3">
        <w:rPr>
          <w:rFonts w:ascii="Times New Roman" w:hAnsi="Times New Roman" w:cs="Times New Roman"/>
          <w:sz w:val="24"/>
          <w:szCs w:val="24"/>
        </w:rPr>
        <w:t>A</w:t>
      </w:r>
      <w:r w:rsidR="006A383D">
        <w:rPr>
          <w:rFonts w:ascii="Times New Roman" w:hAnsi="Times New Roman" w:cs="Times New Roman"/>
          <w:sz w:val="24"/>
          <w:szCs w:val="24"/>
        </w:rPr>
        <w:t>GG</w:t>
      </w:r>
      <w:r w:rsidR="004F3654">
        <w:rPr>
          <w:rFonts w:ascii="Times New Roman" w:hAnsi="Times New Roman" w:cs="Times New Roman"/>
          <w:sz w:val="24"/>
          <w:szCs w:val="24"/>
        </w:rPr>
        <w:t>)</w:t>
      </w:r>
      <w:r w:rsidR="001C7633">
        <w:rPr>
          <w:rFonts w:ascii="Times New Roman" w:hAnsi="Times New Roman" w:cs="Times New Roman"/>
          <w:sz w:val="24"/>
          <w:szCs w:val="24"/>
        </w:rPr>
        <w:t xml:space="preserve"> (Peng</w:t>
      </w:r>
      <w:r w:rsidR="00CB7D33">
        <w:rPr>
          <w:rFonts w:ascii="Times New Roman" w:hAnsi="Times New Roman" w:cs="Times New Roman"/>
          <w:sz w:val="24"/>
          <w:szCs w:val="24"/>
        </w:rPr>
        <w:t xml:space="preserve"> 2008</w:t>
      </w:r>
      <w:r w:rsidR="001C7633">
        <w:rPr>
          <w:rFonts w:ascii="Times New Roman" w:hAnsi="Times New Roman" w:cs="Times New Roman"/>
          <w:sz w:val="24"/>
          <w:szCs w:val="24"/>
        </w:rPr>
        <w:t>)</w:t>
      </w:r>
      <w:r w:rsidR="004F3654">
        <w:rPr>
          <w:rFonts w:ascii="Times New Roman" w:hAnsi="Times New Roman" w:cs="Times New Roman"/>
          <w:sz w:val="24"/>
          <w:szCs w:val="24"/>
        </w:rPr>
        <w:t xml:space="preserve">. </w:t>
      </w:r>
      <w:r w:rsidR="001C7633">
        <w:rPr>
          <w:rFonts w:ascii="Times New Roman" w:hAnsi="Times New Roman" w:cs="Times New Roman"/>
          <w:sz w:val="24"/>
          <w:szCs w:val="24"/>
        </w:rPr>
        <w:t xml:space="preserve">This distinction is technical, but </w:t>
      </w:r>
      <w:r w:rsidR="00CB7D33">
        <w:rPr>
          <w:rFonts w:ascii="Times New Roman" w:hAnsi="Times New Roman" w:cs="Times New Roman"/>
          <w:sz w:val="24"/>
          <w:szCs w:val="24"/>
        </w:rPr>
        <w:t>its</w:t>
      </w:r>
      <w:r w:rsidR="001C7633">
        <w:rPr>
          <w:rFonts w:ascii="Times New Roman" w:hAnsi="Times New Roman" w:cs="Times New Roman"/>
          <w:sz w:val="24"/>
          <w:szCs w:val="24"/>
        </w:rPr>
        <w:t xml:space="preserve"> effect is that c</w:t>
      </w:r>
      <w:r w:rsidR="00CB7D33">
        <w:rPr>
          <w:rFonts w:ascii="Times New Roman" w:hAnsi="Times New Roman" w:cs="Times New Roman"/>
          <w:sz w:val="24"/>
          <w:szCs w:val="24"/>
        </w:rPr>
        <w:t>ost-</w:t>
      </w:r>
      <w:r w:rsidR="004F3654">
        <w:rPr>
          <w:rFonts w:ascii="Times New Roman" w:hAnsi="Times New Roman" w:cs="Times New Roman"/>
          <w:sz w:val="24"/>
          <w:szCs w:val="24"/>
        </w:rPr>
        <w:t>prorated methods</w:t>
      </w:r>
      <w:r w:rsidR="00420836">
        <w:rPr>
          <w:rFonts w:ascii="Times New Roman" w:hAnsi="Times New Roman" w:cs="Times New Roman"/>
          <w:sz w:val="24"/>
          <w:szCs w:val="24"/>
        </w:rPr>
        <w:t xml:space="preserve"> (such as EAN)</w:t>
      </w:r>
      <w:r w:rsidR="004F3654">
        <w:rPr>
          <w:rFonts w:ascii="Times New Roman" w:hAnsi="Times New Roman" w:cs="Times New Roman"/>
          <w:sz w:val="24"/>
          <w:szCs w:val="24"/>
        </w:rPr>
        <w:t xml:space="preserve"> tend to </w:t>
      </w:r>
      <w:r w:rsidR="00CB7D33">
        <w:rPr>
          <w:rFonts w:ascii="Times New Roman" w:hAnsi="Times New Roman" w:cs="Times New Roman"/>
          <w:sz w:val="24"/>
          <w:szCs w:val="24"/>
        </w:rPr>
        <w:t>have larger normal</w:t>
      </w:r>
      <w:r w:rsidR="004F3654">
        <w:rPr>
          <w:rFonts w:ascii="Times New Roman" w:hAnsi="Times New Roman" w:cs="Times New Roman"/>
          <w:sz w:val="24"/>
          <w:szCs w:val="24"/>
        </w:rPr>
        <w:t xml:space="preserve"> costs </w:t>
      </w:r>
      <w:r w:rsidR="00CB7D33">
        <w:rPr>
          <w:rFonts w:ascii="Times New Roman" w:hAnsi="Times New Roman" w:cs="Times New Roman"/>
          <w:sz w:val="24"/>
          <w:szCs w:val="24"/>
        </w:rPr>
        <w:t>in early years of employee service, while benefit-</w:t>
      </w:r>
      <w:r w:rsidR="004F3654">
        <w:rPr>
          <w:rFonts w:ascii="Times New Roman" w:hAnsi="Times New Roman" w:cs="Times New Roman"/>
          <w:sz w:val="24"/>
          <w:szCs w:val="24"/>
        </w:rPr>
        <w:t>prorated methods</w:t>
      </w:r>
      <w:r w:rsidR="00420836">
        <w:rPr>
          <w:rFonts w:ascii="Times New Roman" w:hAnsi="Times New Roman" w:cs="Times New Roman"/>
          <w:sz w:val="24"/>
          <w:szCs w:val="24"/>
        </w:rPr>
        <w:t xml:space="preserve"> (such as PUC)</w:t>
      </w:r>
      <w:r w:rsidR="004F3654">
        <w:rPr>
          <w:rFonts w:ascii="Times New Roman" w:hAnsi="Times New Roman" w:cs="Times New Roman"/>
          <w:sz w:val="24"/>
          <w:szCs w:val="24"/>
        </w:rPr>
        <w:t xml:space="preserve"> tend </w:t>
      </w:r>
      <w:r w:rsidR="00420836">
        <w:rPr>
          <w:rFonts w:ascii="Times New Roman" w:hAnsi="Times New Roman" w:cs="Times New Roman"/>
          <w:sz w:val="24"/>
          <w:szCs w:val="24"/>
        </w:rPr>
        <w:t xml:space="preserve">to </w:t>
      </w:r>
      <w:r w:rsidR="004F3654">
        <w:rPr>
          <w:rFonts w:ascii="Times New Roman" w:hAnsi="Times New Roman" w:cs="Times New Roman"/>
          <w:sz w:val="24"/>
          <w:szCs w:val="24"/>
        </w:rPr>
        <w:t xml:space="preserve">produce progressively increasing normal costs. </w:t>
      </w:r>
    </w:p>
    <w:p w14:paraId="46A144A0" w14:textId="5FA3C583" w:rsidR="0058271C" w:rsidRDefault="00BB0751" w:rsidP="004F3654">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D55F3C">
        <w:rPr>
          <w:rFonts w:ascii="Times New Roman" w:hAnsi="Times New Roman" w:cs="Times New Roman"/>
          <w:sz w:val="24"/>
          <w:szCs w:val="24"/>
        </w:rPr>
        <w:t xml:space="preserve">As shown in </w:t>
      </w:r>
      <w:r w:rsidR="00FD6B93">
        <w:rPr>
          <w:rFonts w:ascii="Times New Roman" w:hAnsi="Times New Roman" w:cs="Times New Roman"/>
          <w:sz w:val="24"/>
          <w:szCs w:val="24"/>
        </w:rPr>
        <w:t>t</w:t>
      </w:r>
      <w:r w:rsidR="00D55F3C">
        <w:rPr>
          <w:rFonts w:ascii="Times New Roman" w:hAnsi="Times New Roman" w:cs="Times New Roman"/>
          <w:sz w:val="24"/>
          <w:szCs w:val="24"/>
        </w:rPr>
        <w:t>able 2</w:t>
      </w:r>
      <w:r w:rsidR="004F3654">
        <w:rPr>
          <w:rFonts w:ascii="Times New Roman" w:hAnsi="Times New Roman" w:cs="Times New Roman"/>
          <w:sz w:val="24"/>
          <w:szCs w:val="24"/>
        </w:rPr>
        <w:t>, 72</w:t>
      </w:r>
      <w:r w:rsidR="00420836">
        <w:rPr>
          <w:rFonts w:ascii="Times New Roman" w:hAnsi="Times New Roman" w:cs="Times New Roman"/>
          <w:sz w:val="24"/>
          <w:szCs w:val="24"/>
        </w:rPr>
        <w:t xml:space="preserve"> percent</w:t>
      </w:r>
      <w:r w:rsidR="004F3654">
        <w:rPr>
          <w:rFonts w:ascii="Times New Roman" w:hAnsi="Times New Roman" w:cs="Times New Roman"/>
          <w:sz w:val="24"/>
          <w:szCs w:val="24"/>
        </w:rPr>
        <w:t xml:space="preserve"> of </w:t>
      </w:r>
      <w:r w:rsidR="007170E3">
        <w:rPr>
          <w:rFonts w:ascii="Times New Roman" w:hAnsi="Times New Roman" w:cs="Times New Roman"/>
          <w:sz w:val="24"/>
          <w:szCs w:val="24"/>
        </w:rPr>
        <w:t>plans us</w:t>
      </w:r>
      <w:r w:rsidR="00420836">
        <w:rPr>
          <w:rFonts w:ascii="Times New Roman" w:hAnsi="Times New Roman" w:cs="Times New Roman"/>
          <w:sz w:val="24"/>
          <w:szCs w:val="24"/>
        </w:rPr>
        <w:t>e</w:t>
      </w:r>
      <w:r w:rsidR="007170E3">
        <w:rPr>
          <w:rFonts w:ascii="Times New Roman" w:hAnsi="Times New Roman" w:cs="Times New Roman"/>
          <w:sz w:val="24"/>
          <w:szCs w:val="24"/>
        </w:rPr>
        <w:t xml:space="preserve"> E</w:t>
      </w:r>
      <w:r w:rsidR="00420836">
        <w:rPr>
          <w:rFonts w:ascii="Times New Roman" w:hAnsi="Times New Roman" w:cs="Times New Roman"/>
          <w:sz w:val="24"/>
          <w:szCs w:val="24"/>
        </w:rPr>
        <w:t>AN, 13 percent</w:t>
      </w:r>
      <w:r w:rsidR="007170E3">
        <w:rPr>
          <w:rFonts w:ascii="Times New Roman" w:hAnsi="Times New Roman" w:cs="Times New Roman"/>
          <w:sz w:val="24"/>
          <w:szCs w:val="24"/>
        </w:rPr>
        <w:t xml:space="preserve"> us</w:t>
      </w:r>
      <w:r w:rsidR="00420836">
        <w:rPr>
          <w:rFonts w:ascii="Times New Roman" w:hAnsi="Times New Roman" w:cs="Times New Roman"/>
          <w:sz w:val="24"/>
          <w:szCs w:val="24"/>
        </w:rPr>
        <w:t>e</w:t>
      </w:r>
      <w:r w:rsidR="007170E3">
        <w:rPr>
          <w:rFonts w:ascii="Times New Roman" w:hAnsi="Times New Roman" w:cs="Times New Roman"/>
          <w:sz w:val="24"/>
          <w:szCs w:val="24"/>
        </w:rPr>
        <w:t xml:space="preserve"> P</w:t>
      </w:r>
      <w:r w:rsidR="00420836">
        <w:rPr>
          <w:rFonts w:ascii="Times New Roman" w:hAnsi="Times New Roman" w:cs="Times New Roman"/>
          <w:sz w:val="24"/>
          <w:szCs w:val="24"/>
        </w:rPr>
        <w:t>UC</w:t>
      </w:r>
      <w:r w:rsidR="007170E3">
        <w:rPr>
          <w:rFonts w:ascii="Times New Roman" w:hAnsi="Times New Roman" w:cs="Times New Roman"/>
          <w:sz w:val="24"/>
          <w:szCs w:val="24"/>
        </w:rPr>
        <w:t xml:space="preserve">, </w:t>
      </w:r>
      <w:r w:rsidR="001C7633">
        <w:rPr>
          <w:rFonts w:ascii="Times New Roman" w:hAnsi="Times New Roman" w:cs="Times New Roman"/>
          <w:sz w:val="24"/>
          <w:szCs w:val="24"/>
        </w:rPr>
        <w:t>eight</w:t>
      </w:r>
      <w:r w:rsidR="00420836">
        <w:rPr>
          <w:rFonts w:ascii="Times New Roman" w:hAnsi="Times New Roman" w:cs="Times New Roman"/>
          <w:sz w:val="24"/>
          <w:szCs w:val="24"/>
        </w:rPr>
        <w:t xml:space="preserve"> percent use</w:t>
      </w:r>
      <w:r w:rsidR="007170E3">
        <w:rPr>
          <w:rFonts w:ascii="Times New Roman" w:hAnsi="Times New Roman" w:cs="Times New Roman"/>
          <w:sz w:val="24"/>
          <w:szCs w:val="24"/>
        </w:rPr>
        <w:t xml:space="preserve"> </w:t>
      </w:r>
      <w:r w:rsidR="001C7633">
        <w:rPr>
          <w:rFonts w:ascii="Times New Roman" w:hAnsi="Times New Roman" w:cs="Times New Roman"/>
          <w:sz w:val="24"/>
          <w:szCs w:val="24"/>
        </w:rPr>
        <w:t>A</w:t>
      </w:r>
      <w:r w:rsidR="007170E3">
        <w:rPr>
          <w:rFonts w:ascii="Times New Roman" w:hAnsi="Times New Roman" w:cs="Times New Roman"/>
          <w:sz w:val="24"/>
          <w:szCs w:val="24"/>
        </w:rPr>
        <w:t xml:space="preserve">ggregate </w:t>
      </w:r>
      <w:r w:rsidR="001C7633">
        <w:rPr>
          <w:rFonts w:ascii="Times New Roman" w:hAnsi="Times New Roman" w:cs="Times New Roman"/>
          <w:sz w:val="24"/>
          <w:szCs w:val="24"/>
        </w:rPr>
        <w:t>C</w:t>
      </w:r>
      <w:r w:rsidR="004F3654">
        <w:rPr>
          <w:rFonts w:ascii="Times New Roman" w:hAnsi="Times New Roman" w:cs="Times New Roman"/>
          <w:sz w:val="24"/>
          <w:szCs w:val="24"/>
        </w:rPr>
        <w:t>ost</w:t>
      </w:r>
      <w:r w:rsidR="007170E3">
        <w:rPr>
          <w:rFonts w:ascii="Times New Roman" w:hAnsi="Times New Roman" w:cs="Times New Roman"/>
          <w:sz w:val="24"/>
          <w:szCs w:val="24"/>
        </w:rPr>
        <w:t xml:space="preserve"> (A</w:t>
      </w:r>
      <w:r w:rsidR="006A383D">
        <w:rPr>
          <w:rFonts w:ascii="Times New Roman" w:hAnsi="Times New Roman" w:cs="Times New Roman"/>
          <w:sz w:val="24"/>
          <w:szCs w:val="24"/>
        </w:rPr>
        <w:t>GG</w:t>
      </w:r>
      <w:r w:rsidR="007170E3">
        <w:rPr>
          <w:rFonts w:ascii="Times New Roman" w:hAnsi="Times New Roman" w:cs="Times New Roman"/>
          <w:sz w:val="24"/>
          <w:szCs w:val="24"/>
        </w:rPr>
        <w:t>)</w:t>
      </w:r>
      <w:r w:rsidR="004F3654">
        <w:rPr>
          <w:rFonts w:ascii="Times New Roman" w:hAnsi="Times New Roman" w:cs="Times New Roman"/>
          <w:sz w:val="24"/>
          <w:szCs w:val="24"/>
        </w:rPr>
        <w:t xml:space="preserve">, and </w:t>
      </w:r>
      <w:r w:rsidR="001C7633">
        <w:rPr>
          <w:rFonts w:ascii="Times New Roman" w:hAnsi="Times New Roman" w:cs="Times New Roman"/>
          <w:sz w:val="24"/>
          <w:szCs w:val="24"/>
        </w:rPr>
        <w:t>seven percent</w:t>
      </w:r>
      <w:r w:rsidR="00420836">
        <w:rPr>
          <w:rFonts w:ascii="Times New Roman" w:hAnsi="Times New Roman" w:cs="Times New Roman"/>
          <w:sz w:val="24"/>
          <w:szCs w:val="24"/>
        </w:rPr>
        <w:t xml:space="preserve"> use</w:t>
      </w:r>
      <w:r w:rsidR="004F3654">
        <w:rPr>
          <w:rFonts w:ascii="Times New Roman" w:hAnsi="Times New Roman" w:cs="Times New Roman"/>
          <w:sz w:val="24"/>
          <w:szCs w:val="24"/>
        </w:rPr>
        <w:t xml:space="preserve"> other methods</w:t>
      </w:r>
      <w:r w:rsidR="00420836">
        <w:rPr>
          <w:rFonts w:ascii="Times New Roman" w:hAnsi="Times New Roman" w:cs="Times New Roman"/>
          <w:sz w:val="24"/>
          <w:szCs w:val="24"/>
        </w:rPr>
        <w:t xml:space="preserve"> (such as Frozen Initial Liability)</w:t>
      </w:r>
      <w:r w:rsidR="004F3654">
        <w:rPr>
          <w:rFonts w:ascii="Times New Roman" w:hAnsi="Times New Roman" w:cs="Times New Roman"/>
          <w:sz w:val="24"/>
          <w:szCs w:val="24"/>
        </w:rPr>
        <w:t>. GASB 27</w:t>
      </w:r>
      <w:r w:rsidR="00420836">
        <w:rPr>
          <w:rFonts w:ascii="Times New Roman" w:hAnsi="Times New Roman" w:cs="Times New Roman"/>
          <w:sz w:val="24"/>
          <w:szCs w:val="24"/>
        </w:rPr>
        <w:t xml:space="preserve"> permits six different</w:t>
      </w:r>
      <w:r w:rsidR="00930BBB">
        <w:rPr>
          <w:rFonts w:ascii="Times New Roman" w:hAnsi="Times New Roman" w:cs="Times New Roman"/>
          <w:sz w:val="24"/>
          <w:szCs w:val="24"/>
        </w:rPr>
        <w:t xml:space="preserve"> actuarial cost methods (with additional variations)</w:t>
      </w:r>
      <w:r w:rsidR="00FC1E03">
        <w:rPr>
          <w:rFonts w:ascii="Times New Roman" w:hAnsi="Times New Roman" w:cs="Times New Roman"/>
          <w:sz w:val="24"/>
          <w:szCs w:val="24"/>
        </w:rPr>
        <w:t xml:space="preserve">. </w:t>
      </w:r>
    </w:p>
    <w:p w14:paraId="436FB97A" w14:textId="21E70A55" w:rsidR="004F3654" w:rsidRDefault="0058271C" w:rsidP="004F3654">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FC1E03">
        <w:rPr>
          <w:rFonts w:ascii="Times New Roman" w:hAnsi="Times New Roman" w:cs="Times New Roman"/>
          <w:sz w:val="24"/>
          <w:szCs w:val="24"/>
        </w:rPr>
        <w:t>Under</w:t>
      </w:r>
      <w:r w:rsidR="004F3654">
        <w:rPr>
          <w:rFonts w:ascii="Times New Roman" w:hAnsi="Times New Roman" w:cs="Times New Roman"/>
          <w:sz w:val="24"/>
          <w:szCs w:val="24"/>
        </w:rPr>
        <w:t xml:space="preserve"> GASB 68, only the </w:t>
      </w:r>
      <w:r w:rsidR="007170E3">
        <w:rPr>
          <w:rFonts w:ascii="Times New Roman" w:hAnsi="Times New Roman" w:cs="Times New Roman"/>
          <w:sz w:val="24"/>
          <w:szCs w:val="24"/>
        </w:rPr>
        <w:t>EAN c</w:t>
      </w:r>
      <w:r w:rsidR="004F3654">
        <w:rPr>
          <w:rFonts w:ascii="Times New Roman" w:hAnsi="Times New Roman" w:cs="Times New Roman"/>
          <w:sz w:val="24"/>
          <w:szCs w:val="24"/>
        </w:rPr>
        <w:t>ost method is allowed</w:t>
      </w:r>
      <w:r w:rsidR="00930BBB">
        <w:rPr>
          <w:rFonts w:ascii="Times New Roman" w:hAnsi="Times New Roman" w:cs="Times New Roman"/>
          <w:sz w:val="24"/>
          <w:szCs w:val="24"/>
        </w:rPr>
        <w:t xml:space="preserve"> </w:t>
      </w:r>
      <w:r w:rsidR="001C7633">
        <w:rPr>
          <w:rFonts w:ascii="Times New Roman" w:hAnsi="Times New Roman" w:cs="Times New Roman"/>
          <w:sz w:val="24"/>
          <w:szCs w:val="24"/>
        </w:rPr>
        <w:t xml:space="preserve">for </w:t>
      </w:r>
      <w:r w:rsidR="00930BBB">
        <w:rPr>
          <w:rFonts w:ascii="Times New Roman" w:hAnsi="Times New Roman" w:cs="Times New Roman"/>
          <w:sz w:val="24"/>
          <w:szCs w:val="24"/>
        </w:rPr>
        <w:t>valu</w:t>
      </w:r>
      <w:r w:rsidR="001C7633">
        <w:rPr>
          <w:rFonts w:ascii="Times New Roman" w:hAnsi="Times New Roman" w:cs="Times New Roman"/>
          <w:sz w:val="24"/>
          <w:szCs w:val="24"/>
        </w:rPr>
        <w:t xml:space="preserve">ing the pension liability. The updated standard, however, </w:t>
      </w:r>
      <w:r w:rsidR="00930BBB">
        <w:rPr>
          <w:rFonts w:ascii="Times New Roman" w:hAnsi="Times New Roman" w:cs="Times New Roman"/>
          <w:sz w:val="24"/>
          <w:szCs w:val="24"/>
        </w:rPr>
        <w:t xml:space="preserve">permits </w:t>
      </w:r>
      <w:r w:rsidR="001C7633">
        <w:rPr>
          <w:rFonts w:ascii="Times New Roman" w:hAnsi="Times New Roman" w:cs="Times New Roman"/>
          <w:sz w:val="24"/>
          <w:szCs w:val="24"/>
        </w:rPr>
        <w:t xml:space="preserve">significant flexibility in reporting contribution </w:t>
      </w:r>
      <w:r w:rsidR="001C7633">
        <w:rPr>
          <w:rFonts w:ascii="Times New Roman" w:hAnsi="Times New Roman" w:cs="Times New Roman"/>
          <w:sz w:val="24"/>
          <w:szCs w:val="24"/>
        </w:rPr>
        <w:lastRenderedPageBreak/>
        <w:t>requirements. G</w:t>
      </w:r>
      <w:r w:rsidR="00930BBB">
        <w:rPr>
          <w:rFonts w:ascii="Times New Roman" w:hAnsi="Times New Roman" w:cs="Times New Roman"/>
          <w:sz w:val="24"/>
          <w:szCs w:val="24"/>
        </w:rPr>
        <w:t xml:space="preserve">overnments </w:t>
      </w:r>
      <w:r w:rsidR="001C7633">
        <w:rPr>
          <w:rFonts w:ascii="Times New Roman" w:hAnsi="Times New Roman" w:cs="Times New Roman"/>
          <w:sz w:val="24"/>
          <w:szCs w:val="24"/>
        </w:rPr>
        <w:t xml:space="preserve">are allowed to </w:t>
      </w:r>
      <w:r w:rsidR="00930BBB">
        <w:rPr>
          <w:rFonts w:ascii="Times New Roman" w:hAnsi="Times New Roman" w:cs="Times New Roman"/>
          <w:sz w:val="24"/>
          <w:szCs w:val="24"/>
        </w:rPr>
        <w:t xml:space="preserve">report statutory or </w:t>
      </w:r>
      <w:r w:rsidR="009231AA">
        <w:rPr>
          <w:rFonts w:ascii="Times New Roman" w:hAnsi="Times New Roman" w:cs="Times New Roman"/>
          <w:sz w:val="24"/>
          <w:szCs w:val="24"/>
        </w:rPr>
        <w:t xml:space="preserve">contractual reporting levels that </w:t>
      </w:r>
      <w:r w:rsidR="00CB7D33">
        <w:rPr>
          <w:rFonts w:ascii="Times New Roman" w:hAnsi="Times New Roman" w:cs="Times New Roman"/>
          <w:sz w:val="24"/>
          <w:szCs w:val="24"/>
        </w:rPr>
        <w:t>are not necessarily</w:t>
      </w:r>
      <w:r w:rsidR="009231AA">
        <w:rPr>
          <w:rFonts w:ascii="Times New Roman" w:hAnsi="Times New Roman" w:cs="Times New Roman"/>
          <w:sz w:val="24"/>
          <w:szCs w:val="24"/>
        </w:rPr>
        <w:t xml:space="preserve"> based on actuarial </w:t>
      </w:r>
      <w:r w:rsidR="001C7633">
        <w:rPr>
          <w:rFonts w:ascii="Times New Roman" w:hAnsi="Times New Roman" w:cs="Times New Roman"/>
          <w:sz w:val="24"/>
          <w:szCs w:val="24"/>
        </w:rPr>
        <w:t>determined values</w:t>
      </w:r>
      <w:r w:rsidR="00CB7D33">
        <w:rPr>
          <w:rFonts w:ascii="Times New Roman" w:hAnsi="Times New Roman" w:cs="Times New Roman"/>
          <w:sz w:val="24"/>
          <w:szCs w:val="24"/>
        </w:rPr>
        <w:t xml:space="preserve"> or may be based on actuarial determined values that </w:t>
      </w:r>
      <w:r>
        <w:rPr>
          <w:rFonts w:ascii="Times New Roman" w:hAnsi="Times New Roman" w:cs="Times New Roman"/>
          <w:sz w:val="24"/>
          <w:szCs w:val="24"/>
        </w:rPr>
        <w:t>are</w:t>
      </w:r>
      <w:r w:rsidR="00CB7D33">
        <w:rPr>
          <w:rFonts w:ascii="Times New Roman" w:hAnsi="Times New Roman" w:cs="Times New Roman"/>
          <w:sz w:val="24"/>
          <w:szCs w:val="24"/>
        </w:rPr>
        <w:t xml:space="preserve"> calculated with cost methods other than EAN</w:t>
      </w:r>
      <w:r w:rsidR="004F3654">
        <w:rPr>
          <w:rFonts w:ascii="Times New Roman" w:hAnsi="Times New Roman" w:cs="Times New Roman"/>
          <w:sz w:val="24"/>
          <w:szCs w:val="24"/>
        </w:rPr>
        <w:t xml:space="preserve">. </w:t>
      </w:r>
    </w:p>
    <w:p w14:paraId="17116E7D" w14:textId="64C10E0B" w:rsidR="00BB0751" w:rsidRDefault="00DE31F0" w:rsidP="00C04E79">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r w:rsidRPr="00F80F6C">
        <w:rPr>
          <w:rFonts w:ascii="Times New Roman" w:hAnsi="Times New Roman" w:cs="Times New Roman"/>
          <w:b/>
          <w:i/>
          <w:sz w:val="24"/>
          <w:szCs w:val="24"/>
        </w:rPr>
        <w:t>Amortization perio</w:t>
      </w:r>
      <w:r>
        <w:rPr>
          <w:rFonts w:ascii="Times New Roman" w:hAnsi="Times New Roman" w:cs="Times New Roman"/>
          <w:b/>
          <w:i/>
          <w:sz w:val="24"/>
          <w:szCs w:val="24"/>
        </w:rPr>
        <w:t>ds</w:t>
      </w:r>
      <w:r>
        <w:rPr>
          <w:rFonts w:ascii="Times New Roman" w:hAnsi="Times New Roman" w:cs="Times New Roman"/>
          <w:sz w:val="24"/>
          <w:szCs w:val="24"/>
        </w:rPr>
        <w:t xml:space="preserve"> are the time periods over which pension systems </w:t>
      </w:r>
      <w:r w:rsidR="00D466D2">
        <w:rPr>
          <w:rFonts w:ascii="Times New Roman" w:hAnsi="Times New Roman" w:cs="Times New Roman"/>
          <w:sz w:val="24"/>
          <w:szCs w:val="24"/>
        </w:rPr>
        <w:t>finance (i.e., seek to pay off)</w:t>
      </w:r>
      <w:r>
        <w:rPr>
          <w:rFonts w:ascii="Times New Roman" w:hAnsi="Times New Roman" w:cs="Times New Roman"/>
          <w:sz w:val="24"/>
          <w:szCs w:val="24"/>
        </w:rPr>
        <w:t xml:space="preserve"> their unfunded accrued liabilities (UAALs). </w:t>
      </w:r>
      <w:r w:rsidR="00CB7D33">
        <w:rPr>
          <w:rFonts w:ascii="Times New Roman" w:hAnsi="Times New Roman" w:cs="Times New Roman"/>
          <w:sz w:val="24"/>
          <w:szCs w:val="24"/>
        </w:rPr>
        <w:t>When</w:t>
      </w:r>
      <w:r>
        <w:rPr>
          <w:rFonts w:ascii="Times New Roman" w:hAnsi="Times New Roman" w:cs="Times New Roman"/>
          <w:sz w:val="24"/>
          <w:szCs w:val="24"/>
        </w:rPr>
        <w:t xml:space="preserve"> amortization periods</w:t>
      </w:r>
      <w:r w:rsidR="00CB7D33">
        <w:rPr>
          <w:rFonts w:ascii="Times New Roman" w:hAnsi="Times New Roman" w:cs="Times New Roman"/>
          <w:sz w:val="24"/>
          <w:szCs w:val="24"/>
        </w:rPr>
        <w:t xml:space="preserve"> increase</w:t>
      </w:r>
      <w:r>
        <w:rPr>
          <w:rFonts w:ascii="Times New Roman" w:hAnsi="Times New Roman" w:cs="Times New Roman"/>
          <w:sz w:val="24"/>
          <w:szCs w:val="24"/>
        </w:rPr>
        <w:t xml:space="preserve">, the annual share of UAALs is reduced. Thus, the choice of amortization period affects systems’ </w:t>
      </w:r>
      <w:r w:rsidR="00CB7D33">
        <w:rPr>
          <w:rFonts w:ascii="Times New Roman" w:hAnsi="Times New Roman" w:cs="Times New Roman"/>
          <w:sz w:val="24"/>
          <w:szCs w:val="24"/>
        </w:rPr>
        <w:t>contribution requirement</w:t>
      </w:r>
      <w:r>
        <w:rPr>
          <w:rFonts w:ascii="Times New Roman" w:hAnsi="Times New Roman" w:cs="Times New Roman"/>
          <w:sz w:val="24"/>
          <w:szCs w:val="24"/>
        </w:rPr>
        <w:t>, especially for systems with large UAALs. The amortization period, however, does not affect the liability calculation, and so does not affect the funding ratio</w:t>
      </w:r>
      <w:r w:rsidR="00D466D2">
        <w:rPr>
          <w:rFonts w:ascii="Times New Roman" w:hAnsi="Times New Roman" w:cs="Times New Roman"/>
          <w:sz w:val="24"/>
          <w:szCs w:val="24"/>
        </w:rPr>
        <w:t xml:space="preserve"> in the near term</w:t>
      </w:r>
      <w:r>
        <w:rPr>
          <w:rFonts w:ascii="Times New Roman" w:hAnsi="Times New Roman" w:cs="Times New Roman"/>
          <w:sz w:val="24"/>
          <w:szCs w:val="24"/>
        </w:rPr>
        <w:t xml:space="preserve">. </w:t>
      </w:r>
    </w:p>
    <w:p w14:paraId="000BF159" w14:textId="13E99A03" w:rsidR="00D55F3C" w:rsidRDefault="00BB0751" w:rsidP="00C04E79">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DE31F0">
        <w:rPr>
          <w:rFonts w:ascii="Times New Roman" w:hAnsi="Times New Roman" w:cs="Times New Roman"/>
          <w:sz w:val="24"/>
          <w:szCs w:val="24"/>
        </w:rPr>
        <w:t xml:space="preserve">Table 1 shows that amortization periods range from 1 to 100 years with a median of 29 years. GASB 27 allowed the maximum amortization period of 30 years </w:t>
      </w:r>
      <w:r w:rsidR="00CB7D33">
        <w:rPr>
          <w:rFonts w:ascii="Times New Roman" w:hAnsi="Times New Roman" w:cs="Times New Roman"/>
          <w:sz w:val="24"/>
          <w:szCs w:val="24"/>
        </w:rPr>
        <w:t>(</w:t>
      </w:r>
      <w:r>
        <w:rPr>
          <w:rFonts w:ascii="Times New Roman" w:hAnsi="Times New Roman" w:cs="Times New Roman"/>
          <w:sz w:val="24"/>
          <w:szCs w:val="24"/>
        </w:rPr>
        <w:t xml:space="preserve">to ease the standards implementation, </w:t>
      </w:r>
      <w:r w:rsidR="00CB7D33">
        <w:rPr>
          <w:rFonts w:ascii="Times New Roman" w:hAnsi="Times New Roman" w:cs="Times New Roman"/>
          <w:sz w:val="24"/>
          <w:szCs w:val="24"/>
        </w:rPr>
        <w:t xml:space="preserve">GASB 27 permitted a maximum period of </w:t>
      </w:r>
      <w:r w:rsidR="00DE31F0">
        <w:rPr>
          <w:rFonts w:ascii="Times New Roman" w:hAnsi="Times New Roman" w:cs="Times New Roman"/>
          <w:sz w:val="24"/>
          <w:szCs w:val="24"/>
        </w:rPr>
        <w:t>40 years</w:t>
      </w:r>
      <w:r w:rsidR="00CB7D33">
        <w:rPr>
          <w:rFonts w:ascii="Times New Roman" w:hAnsi="Times New Roman" w:cs="Times New Roman"/>
          <w:sz w:val="24"/>
          <w:szCs w:val="24"/>
        </w:rPr>
        <w:t xml:space="preserve"> in the first 10 years after the standard was issued)</w:t>
      </w:r>
      <w:r w:rsidR="00DE31F0">
        <w:rPr>
          <w:rFonts w:ascii="Times New Roman" w:hAnsi="Times New Roman" w:cs="Times New Roman"/>
          <w:sz w:val="24"/>
          <w:szCs w:val="24"/>
        </w:rPr>
        <w:t xml:space="preserve">. GASB 68 requires </w:t>
      </w:r>
      <w:r w:rsidR="00CB7D33">
        <w:rPr>
          <w:rFonts w:ascii="Times New Roman" w:hAnsi="Times New Roman" w:cs="Times New Roman"/>
          <w:sz w:val="24"/>
          <w:szCs w:val="24"/>
        </w:rPr>
        <w:t>an</w:t>
      </w:r>
      <w:r w:rsidR="00DE31F0">
        <w:rPr>
          <w:rFonts w:ascii="Times New Roman" w:hAnsi="Times New Roman" w:cs="Times New Roman"/>
          <w:sz w:val="24"/>
          <w:szCs w:val="24"/>
        </w:rPr>
        <w:t xml:space="preserve"> amortization period </w:t>
      </w:r>
      <w:r w:rsidR="00CB7D33">
        <w:rPr>
          <w:rFonts w:ascii="Times New Roman" w:hAnsi="Times New Roman" w:cs="Times New Roman"/>
          <w:sz w:val="24"/>
          <w:szCs w:val="24"/>
        </w:rPr>
        <w:t>that is</w:t>
      </w:r>
      <w:r w:rsidR="00DE31F0">
        <w:rPr>
          <w:rFonts w:ascii="Times New Roman" w:hAnsi="Times New Roman" w:cs="Times New Roman"/>
          <w:sz w:val="24"/>
          <w:szCs w:val="24"/>
        </w:rPr>
        <w:t xml:space="preserve"> based on the </w:t>
      </w:r>
      <w:r w:rsidR="00DE31F0" w:rsidRPr="005D4F28">
        <w:rPr>
          <w:rFonts w:ascii="Times New Roman" w:hAnsi="Times New Roman" w:cs="Times New Roman"/>
          <w:sz w:val="24"/>
          <w:szCs w:val="24"/>
        </w:rPr>
        <w:t>remaining service life of all employees</w:t>
      </w:r>
      <w:r w:rsidR="00DE31F0">
        <w:rPr>
          <w:rFonts w:ascii="Times New Roman" w:hAnsi="Times New Roman" w:cs="Times New Roman"/>
          <w:sz w:val="24"/>
          <w:szCs w:val="24"/>
        </w:rPr>
        <w:t>, which in many cases is</w:t>
      </w:r>
      <w:r w:rsidR="00C04E79">
        <w:rPr>
          <w:rFonts w:ascii="Times New Roman" w:hAnsi="Times New Roman" w:cs="Times New Roman"/>
          <w:sz w:val="24"/>
          <w:szCs w:val="24"/>
        </w:rPr>
        <w:t xml:space="preserve"> much shorter than the 30 years.</w:t>
      </w:r>
    </w:p>
    <w:p w14:paraId="4209B0BB" w14:textId="699F5AE1" w:rsidR="00931C8E" w:rsidRPr="00BD702E" w:rsidRDefault="00BD702E" w:rsidP="00BD702E">
      <w:pPr>
        <w:spacing w:after="0" w:line="480" w:lineRule="auto"/>
        <w:contextualSpacing/>
        <w:rPr>
          <w:rFonts w:ascii="Times New Roman" w:hAnsi="Times New Roman" w:cs="Times New Roman"/>
          <w:sz w:val="28"/>
          <w:szCs w:val="24"/>
        </w:rPr>
      </w:pPr>
      <w:r w:rsidRPr="00BD702E">
        <w:rPr>
          <w:rFonts w:ascii="Times New Roman" w:hAnsi="Times New Roman" w:cs="Times New Roman"/>
          <w:sz w:val="28"/>
          <w:szCs w:val="24"/>
        </w:rPr>
        <w:t>Research Design</w:t>
      </w:r>
    </w:p>
    <w:p w14:paraId="7028C135" w14:textId="07143645" w:rsidR="00D615F0" w:rsidRPr="00BD702E" w:rsidRDefault="00B332C8" w:rsidP="00663DD8">
      <w:pPr>
        <w:spacing w:after="0" w:line="480" w:lineRule="auto"/>
        <w:contextualSpacing/>
        <w:rPr>
          <w:rFonts w:ascii="Times New Roman" w:hAnsi="Times New Roman" w:cs="Times New Roman"/>
          <w:b/>
          <w:sz w:val="24"/>
          <w:szCs w:val="24"/>
        </w:rPr>
      </w:pPr>
      <w:r>
        <w:rPr>
          <w:rFonts w:ascii="Times New Roman" w:hAnsi="Times New Roman" w:cs="Times New Roman"/>
          <w:b/>
          <w:sz w:val="24"/>
          <w:szCs w:val="24"/>
        </w:rPr>
        <w:t xml:space="preserve">Baseline </w:t>
      </w:r>
      <w:r w:rsidR="00D615F0" w:rsidRPr="00BD702E">
        <w:rPr>
          <w:rFonts w:ascii="Times New Roman" w:hAnsi="Times New Roman" w:cs="Times New Roman"/>
          <w:b/>
          <w:sz w:val="24"/>
          <w:szCs w:val="24"/>
        </w:rPr>
        <w:t xml:space="preserve">Simulation </w:t>
      </w:r>
      <w:r w:rsidR="00BD702E" w:rsidRPr="00BD702E">
        <w:rPr>
          <w:rFonts w:ascii="Times New Roman" w:hAnsi="Times New Roman" w:cs="Times New Roman"/>
          <w:b/>
          <w:sz w:val="24"/>
          <w:szCs w:val="24"/>
        </w:rPr>
        <w:t>Model (The “Median Plan”)</w:t>
      </w:r>
    </w:p>
    <w:p w14:paraId="39046ABC" w14:textId="3DC6AA57" w:rsidR="004B71E0" w:rsidRDefault="00041369" w:rsidP="00663DD8">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9231AA">
        <w:rPr>
          <w:rFonts w:ascii="Times New Roman" w:hAnsi="Times New Roman" w:cs="Times New Roman"/>
          <w:sz w:val="24"/>
          <w:szCs w:val="24"/>
        </w:rPr>
        <w:t>In order to identify the marginal effect</w:t>
      </w:r>
      <w:r w:rsidR="00BB0751">
        <w:rPr>
          <w:rFonts w:ascii="Times New Roman" w:hAnsi="Times New Roman" w:cs="Times New Roman"/>
          <w:sz w:val="24"/>
          <w:szCs w:val="24"/>
        </w:rPr>
        <w:t>s</w:t>
      </w:r>
      <w:r w:rsidR="009231AA">
        <w:rPr>
          <w:rFonts w:ascii="Times New Roman" w:hAnsi="Times New Roman" w:cs="Times New Roman"/>
          <w:sz w:val="24"/>
          <w:szCs w:val="24"/>
        </w:rPr>
        <w:t xml:space="preserve"> of changes to actuarial inputs on funding ratios and contribution </w:t>
      </w:r>
      <w:r w:rsidR="00C04E79">
        <w:rPr>
          <w:rFonts w:ascii="Times New Roman" w:hAnsi="Times New Roman" w:cs="Times New Roman"/>
          <w:sz w:val="24"/>
          <w:szCs w:val="24"/>
        </w:rPr>
        <w:t>requirements</w:t>
      </w:r>
      <w:r w:rsidR="009231AA">
        <w:rPr>
          <w:rFonts w:ascii="Times New Roman" w:hAnsi="Times New Roman" w:cs="Times New Roman"/>
          <w:sz w:val="24"/>
          <w:szCs w:val="24"/>
        </w:rPr>
        <w:t>, w</w:t>
      </w:r>
      <w:r>
        <w:rPr>
          <w:rFonts w:ascii="Times New Roman" w:hAnsi="Times New Roman" w:cs="Times New Roman"/>
          <w:sz w:val="24"/>
          <w:szCs w:val="24"/>
        </w:rPr>
        <w:t xml:space="preserve">e </w:t>
      </w:r>
      <w:r w:rsidR="00530F6A">
        <w:rPr>
          <w:rFonts w:ascii="Times New Roman" w:hAnsi="Times New Roman" w:cs="Times New Roman"/>
          <w:sz w:val="24"/>
          <w:szCs w:val="24"/>
        </w:rPr>
        <w:t>simulate</w:t>
      </w:r>
      <w:r w:rsidR="009231AA">
        <w:rPr>
          <w:rFonts w:ascii="Times New Roman" w:hAnsi="Times New Roman" w:cs="Times New Roman"/>
          <w:sz w:val="24"/>
          <w:szCs w:val="24"/>
        </w:rPr>
        <w:t>d</w:t>
      </w:r>
      <w:r w:rsidR="005828CB">
        <w:rPr>
          <w:rFonts w:ascii="Times New Roman" w:hAnsi="Times New Roman" w:cs="Times New Roman"/>
          <w:sz w:val="24"/>
          <w:szCs w:val="24"/>
        </w:rPr>
        <w:t xml:space="preserve"> </w:t>
      </w:r>
      <w:r w:rsidR="00FC1E03">
        <w:rPr>
          <w:rFonts w:ascii="Times New Roman" w:hAnsi="Times New Roman" w:cs="Times New Roman"/>
          <w:sz w:val="24"/>
          <w:szCs w:val="24"/>
        </w:rPr>
        <w:t xml:space="preserve">a </w:t>
      </w:r>
      <w:r w:rsidR="00530F6A">
        <w:rPr>
          <w:rFonts w:ascii="Times New Roman" w:hAnsi="Times New Roman" w:cs="Times New Roman"/>
          <w:sz w:val="24"/>
          <w:szCs w:val="24"/>
        </w:rPr>
        <w:t>simplified public pension</w:t>
      </w:r>
      <w:r w:rsidR="008A7C53">
        <w:rPr>
          <w:rFonts w:ascii="Times New Roman" w:hAnsi="Times New Roman" w:cs="Times New Roman"/>
          <w:sz w:val="24"/>
          <w:szCs w:val="24"/>
        </w:rPr>
        <w:t xml:space="preserve"> </w:t>
      </w:r>
      <w:r w:rsidR="00565CBB">
        <w:rPr>
          <w:rFonts w:ascii="Times New Roman" w:hAnsi="Times New Roman" w:cs="Times New Roman"/>
          <w:sz w:val="24"/>
          <w:szCs w:val="24"/>
        </w:rPr>
        <w:t>system</w:t>
      </w:r>
      <w:r w:rsidR="009231AA">
        <w:rPr>
          <w:rFonts w:ascii="Times New Roman" w:hAnsi="Times New Roman" w:cs="Times New Roman"/>
          <w:sz w:val="24"/>
          <w:szCs w:val="24"/>
        </w:rPr>
        <w:t xml:space="preserve">. We </w:t>
      </w:r>
      <w:r w:rsidR="00BB0751">
        <w:rPr>
          <w:rFonts w:ascii="Times New Roman" w:hAnsi="Times New Roman" w:cs="Times New Roman"/>
          <w:sz w:val="24"/>
          <w:szCs w:val="24"/>
        </w:rPr>
        <w:t>use a</w:t>
      </w:r>
      <w:r w:rsidR="009231AA">
        <w:rPr>
          <w:rFonts w:ascii="Times New Roman" w:hAnsi="Times New Roman" w:cs="Times New Roman"/>
          <w:sz w:val="24"/>
          <w:szCs w:val="24"/>
        </w:rPr>
        <w:t xml:space="preserve"> simulation over a multi</w:t>
      </w:r>
      <w:r w:rsidR="00565CBB">
        <w:rPr>
          <w:rFonts w:ascii="Times New Roman" w:hAnsi="Times New Roman" w:cs="Times New Roman"/>
          <w:sz w:val="24"/>
          <w:szCs w:val="24"/>
        </w:rPr>
        <w:t>variate</w:t>
      </w:r>
      <w:r w:rsidR="00BB0751">
        <w:rPr>
          <w:rFonts w:ascii="Times New Roman" w:hAnsi="Times New Roman" w:cs="Times New Roman"/>
          <w:sz w:val="24"/>
          <w:szCs w:val="24"/>
        </w:rPr>
        <w:t>-</w:t>
      </w:r>
      <w:r w:rsidR="009231AA">
        <w:rPr>
          <w:rFonts w:ascii="Times New Roman" w:hAnsi="Times New Roman" w:cs="Times New Roman"/>
          <w:sz w:val="24"/>
          <w:szCs w:val="24"/>
        </w:rPr>
        <w:t xml:space="preserve">regression </w:t>
      </w:r>
      <w:r w:rsidR="00565CBB">
        <w:rPr>
          <w:rFonts w:ascii="Times New Roman" w:hAnsi="Times New Roman" w:cs="Times New Roman"/>
          <w:sz w:val="24"/>
          <w:szCs w:val="24"/>
        </w:rPr>
        <w:t>approach</w:t>
      </w:r>
      <w:r w:rsidR="009231AA">
        <w:rPr>
          <w:rFonts w:ascii="Times New Roman" w:hAnsi="Times New Roman" w:cs="Times New Roman"/>
          <w:sz w:val="24"/>
          <w:szCs w:val="24"/>
        </w:rPr>
        <w:t xml:space="preserve"> </w:t>
      </w:r>
      <w:r w:rsidR="00D466D2">
        <w:rPr>
          <w:rFonts w:ascii="Times New Roman" w:hAnsi="Times New Roman" w:cs="Times New Roman"/>
          <w:sz w:val="24"/>
          <w:szCs w:val="24"/>
        </w:rPr>
        <w:t xml:space="preserve">because of several problems related to the availability of data on </w:t>
      </w:r>
      <w:r w:rsidR="00796EAA">
        <w:rPr>
          <w:rFonts w:ascii="Times New Roman" w:hAnsi="Times New Roman" w:cs="Times New Roman"/>
          <w:sz w:val="24"/>
          <w:szCs w:val="24"/>
        </w:rPr>
        <w:t xml:space="preserve">actuarial inputs and changes to those inputs. </w:t>
      </w:r>
      <w:r w:rsidR="00BB0751">
        <w:rPr>
          <w:rFonts w:ascii="Times New Roman" w:hAnsi="Times New Roman" w:cs="Times New Roman"/>
          <w:sz w:val="24"/>
          <w:szCs w:val="24"/>
        </w:rPr>
        <w:t xml:space="preserve">First, </w:t>
      </w:r>
      <w:r w:rsidR="00796EAA">
        <w:rPr>
          <w:rFonts w:ascii="Times New Roman" w:hAnsi="Times New Roman" w:cs="Times New Roman"/>
          <w:sz w:val="24"/>
          <w:szCs w:val="24"/>
        </w:rPr>
        <w:t>the relationship between changes to a</w:t>
      </w:r>
      <w:r w:rsidR="009231AA">
        <w:rPr>
          <w:rFonts w:ascii="Times New Roman" w:hAnsi="Times New Roman" w:cs="Times New Roman"/>
          <w:sz w:val="24"/>
          <w:szCs w:val="24"/>
        </w:rPr>
        <w:t>ctua</w:t>
      </w:r>
      <w:r w:rsidR="00565CBB">
        <w:rPr>
          <w:rFonts w:ascii="Times New Roman" w:hAnsi="Times New Roman" w:cs="Times New Roman"/>
          <w:sz w:val="24"/>
          <w:szCs w:val="24"/>
        </w:rPr>
        <w:t>rial</w:t>
      </w:r>
      <w:r w:rsidR="009231AA">
        <w:rPr>
          <w:rFonts w:ascii="Times New Roman" w:hAnsi="Times New Roman" w:cs="Times New Roman"/>
          <w:sz w:val="24"/>
          <w:szCs w:val="24"/>
        </w:rPr>
        <w:t xml:space="preserve"> inputs </w:t>
      </w:r>
      <w:r w:rsidR="00796EAA">
        <w:rPr>
          <w:rFonts w:ascii="Times New Roman" w:hAnsi="Times New Roman" w:cs="Times New Roman"/>
          <w:sz w:val="24"/>
          <w:szCs w:val="24"/>
        </w:rPr>
        <w:t>and pension performance measure</w:t>
      </w:r>
      <w:r w:rsidR="00BB0751">
        <w:rPr>
          <w:rFonts w:ascii="Times New Roman" w:hAnsi="Times New Roman" w:cs="Times New Roman"/>
          <w:sz w:val="24"/>
          <w:szCs w:val="24"/>
        </w:rPr>
        <w:t>ments</w:t>
      </w:r>
      <w:r w:rsidR="00796EAA">
        <w:rPr>
          <w:rFonts w:ascii="Times New Roman" w:hAnsi="Times New Roman" w:cs="Times New Roman"/>
          <w:sz w:val="24"/>
          <w:szCs w:val="24"/>
        </w:rPr>
        <w:t xml:space="preserve"> is </w:t>
      </w:r>
      <w:r w:rsidR="00BB0751">
        <w:rPr>
          <w:rFonts w:ascii="Times New Roman" w:hAnsi="Times New Roman" w:cs="Times New Roman"/>
          <w:sz w:val="24"/>
          <w:szCs w:val="24"/>
        </w:rPr>
        <w:t xml:space="preserve">likely to be </w:t>
      </w:r>
      <w:r w:rsidR="00796EAA">
        <w:rPr>
          <w:rFonts w:ascii="Times New Roman" w:hAnsi="Times New Roman" w:cs="Times New Roman"/>
          <w:sz w:val="24"/>
          <w:szCs w:val="24"/>
        </w:rPr>
        <w:t xml:space="preserve">highly </w:t>
      </w:r>
      <w:r w:rsidR="009231AA">
        <w:rPr>
          <w:rFonts w:ascii="Times New Roman" w:hAnsi="Times New Roman" w:cs="Times New Roman"/>
          <w:sz w:val="24"/>
          <w:szCs w:val="24"/>
        </w:rPr>
        <w:t>endogenous</w:t>
      </w:r>
      <w:r w:rsidR="00796EAA">
        <w:rPr>
          <w:rFonts w:ascii="Times New Roman" w:hAnsi="Times New Roman" w:cs="Times New Roman"/>
          <w:sz w:val="24"/>
          <w:szCs w:val="24"/>
        </w:rPr>
        <w:t xml:space="preserve">. </w:t>
      </w:r>
      <w:r w:rsidR="00BB0751">
        <w:rPr>
          <w:rFonts w:ascii="Times New Roman" w:hAnsi="Times New Roman" w:cs="Times New Roman"/>
          <w:sz w:val="24"/>
          <w:szCs w:val="24"/>
        </w:rPr>
        <w:t>This means that governments may change their actuarial inputs in response to changes in funding ratios or contribution requirements</w:t>
      </w:r>
      <w:r w:rsidR="00D466D2">
        <w:rPr>
          <w:rFonts w:ascii="Times New Roman" w:hAnsi="Times New Roman" w:cs="Times New Roman"/>
          <w:sz w:val="24"/>
          <w:szCs w:val="24"/>
        </w:rPr>
        <w:t xml:space="preserve"> that were caused by other factors</w:t>
      </w:r>
      <w:r w:rsidR="00BB0751">
        <w:rPr>
          <w:rFonts w:ascii="Times New Roman" w:hAnsi="Times New Roman" w:cs="Times New Roman"/>
          <w:sz w:val="24"/>
          <w:szCs w:val="24"/>
        </w:rPr>
        <w:t xml:space="preserve">. </w:t>
      </w:r>
      <w:r w:rsidR="00666387">
        <w:rPr>
          <w:rFonts w:ascii="Times New Roman" w:hAnsi="Times New Roman" w:cs="Times New Roman"/>
          <w:sz w:val="24"/>
          <w:szCs w:val="24"/>
        </w:rPr>
        <w:t xml:space="preserve">This </w:t>
      </w:r>
      <w:r w:rsidR="00666387">
        <w:rPr>
          <w:rFonts w:ascii="Times New Roman" w:hAnsi="Times New Roman" w:cs="Times New Roman"/>
          <w:sz w:val="24"/>
          <w:szCs w:val="24"/>
        </w:rPr>
        <w:lastRenderedPageBreak/>
        <w:t xml:space="preserve">can lead to </w:t>
      </w:r>
      <w:r w:rsidR="00D466D2">
        <w:rPr>
          <w:rFonts w:ascii="Times New Roman" w:hAnsi="Times New Roman" w:cs="Times New Roman"/>
          <w:sz w:val="24"/>
          <w:szCs w:val="24"/>
        </w:rPr>
        <w:t xml:space="preserve">regression </w:t>
      </w:r>
      <w:r w:rsidR="00666387">
        <w:rPr>
          <w:rFonts w:ascii="Times New Roman" w:hAnsi="Times New Roman" w:cs="Times New Roman"/>
          <w:sz w:val="24"/>
          <w:szCs w:val="24"/>
        </w:rPr>
        <w:t>findings</w:t>
      </w:r>
      <w:r w:rsidR="00B332C8">
        <w:rPr>
          <w:rFonts w:ascii="Times New Roman" w:hAnsi="Times New Roman" w:cs="Times New Roman"/>
          <w:sz w:val="24"/>
          <w:szCs w:val="24"/>
        </w:rPr>
        <w:t>, for example,</w:t>
      </w:r>
      <w:r w:rsidR="00666387">
        <w:rPr>
          <w:rFonts w:ascii="Times New Roman" w:hAnsi="Times New Roman" w:cs="Times New Roman"/>
          <w:sz w:val="24"/>
          <w:szCs w:val="24"/>
        </w:rPr>
        <w:t xml:space="preserve"> that discount rates </w:t>
      </w:r>
      <w:r w:rsidR="00D466D2">
        <w:rPr>
          <w:rFonts w:ascii="Times New Roman" w:hAnsi="Times New Roman" w:cs="Times New Roman"/>
          <w:sz w:val="24"/>
          <w:szCs w:val="24"/>
        </w:rPr>
        <w:t>are negatively related to f</w:t>
      </w:r>
      <w:r w:rsidR="00666387">
        <w:rPr>
          <w:rFonts w:ascii="Times New Roman" w:hAnsi="Times New Roman" w:cs="Times New Roman"/>
          <w:sz w:val="24"/>
          <w:szCs w:val="24"/>
        </w:rPr>
        <w:t xml:space="preserve">unding ratios when the discount rate was increased because the funding ratio dropped </w:t>
      </w:r>
      <w:r w:rsidR="00B332C8">
        <w:rPr>
          <w:rFonts w:ascii="Times New Roman" w:hAnsi="Times New Roman" w:cs="Times New Roman"/>
          <w:sz w:val="24"/>
          <w:szCs w:val="24"/>
        </w:rPr>
        <w:t>as the result of</w:t>
      </w:r>
      <w:r w:rsidR="00D466D2">
        <w:rPr>
          <w:rFonts w:ascii="Times New Roman" w:hAnsi="Times New Roman" w:cs="Times New Roman"/>
          <w:sz w:val="24"/>
          <w:szCs w:val="24"/>
        </w:rPr>
        <w:t xml:space="preserve"> asset value decline</w:t>
      </w:r>
      <w:r w:rsidR="00B332C8">
        <w:rPr>
          <w:rFonts w:ascii="Times New Roman" w:hAnsi="Times New Roman" w:cs="Times New Roman"/>
          <w:sz w:val="24"/>
          <w:szCs w:val="24"/>
        </w:rPr>
        <w:t>s</w:t>
      </w:r>
      <w:r w:rsidR="00D466D2">
        <w:rPr>
          <w:rFonts w:ascii="Times New Roman" w:hAnsi="Times New Roman" w:cs="Times New Roman"/>
          <w:sz w:val="24"/>
          <w:szCs w:val="24"/>
        </w:rPr>
        <w:t xml:space="preserve"> or benefit increase</w:t>
      </w:r>
      <w:r w:rsidR="00B332C8">
        <w:rPr>
          <w:rFonts w:ascii="Times New Roman" w:hAnsi="Times New Roman" w:cs="Times New Roman"/>
          <w:sz w:val="24"/>
          <w:szCs w:val="24"/>
        </w:rPr>
        <w:t>s</w:t>
      </w:r>
      <w:r w:rsidR="00BB0751">
        <w:rPr>
          <w:rFonts w:ascii="Times New Roman" w:hAnsi="Times New Roman" w:cs="Times New Roman"/>
          <w:sz w:val="24"/>
          <w:szCs w:val="24"/>
        </w:rPr>
        <w:t xml:space="preserve">. </w:t>
      </w:r>
      <w:r w:rsidR="00666387">
        <w:rPr>
          <w:rFonts w:ascii="Times New Roman" w:hAnsi="Times New Roman" w:cs="Times New Roman"/>
          <w:sz w:val="24"/>
          <w:szCs w:val="24"/>
        </w:rPr>
        <w:t>Second</w:t>
      </w:r>
      <w:r w:rsidR="00796EAA">
        <w:rPr>
          <w:rFonts w:ascii="Times New Roman" w:hAnsi="Times New Roman" w:cs="Times New Roman"/>
          <w:sz w:val="24"/>
          <w:szCs w:val="24"/>
        </w:rPr>
        <w:t>, t</w:t>
      </w:r>
      <w:r w:rsidR="00C04E79">
        <w:rPr>
          <w:rFonts w:ascii="Times New Roman" w:hAnsi="Times New Roman" w:cs="Times New Roman"/>
          <w:sz w:val="24"/>
          <w:szCs w:val="24"/>
        </w:rPr>
        <w:t xml:space="preserve">here is </w:t>
      </w:r>
      <w:r w:rsidR="00966E6A">
        <w:rPr>
          <w:rFonts w:ascii="Times New Roman" w:hAnsi="Times New Roman" w:cs="Times New Roman"/>
          <w:sz w:val="24"/>
          <w:szCs w:val="24"/>
        </w:rPr>
        <w:t>significant difficulty in identifying the marginal effect</w:t>
      </w:r>
      <w:r w:rsidR="00666387">
        <w:rPr>
          <w:rFonts w:ascii="Times New Roman" w:hAnsi="Times New Roman" w:cs="Times New Roman"/>
          <w:sz w:val="24"/>
          <w:szCs w:val="24"/>
        </w:rPr>
        <w:t>s</w:t>
      </w:r>
      <w:r w:rsidR="00966E6A">
        <w:rPr>
          <w:rFonts w:ascii="Times New Roman" w:hAnsi="Times New Roman" w:cs="Times New Roman"/>
          <w:sz w:val="24"/>
          <w:szCs w:val="24"/>
        </w:rPr>
        <w:t xml:space="preserve"> of </w:t>
      </w:r>
      <w:r w:rsidR="00796EAA">
        <w:rPr>
          <w:rFonts w:ascii="Times New Roman" w:hAnsi="Times New Roman" w:cs="Times New Roman"/>
          <w:sz w:val="24"/>
          <w:szCs w:val="24"/>
        </w:rPr>
        <w:t xml:space="preserve">individual </w:t>
      </w:r>
      <w:r w:rsidR="00966E6A">
        <w:rPr>
          <w:rFonts w:ascii="Times New Roman" w:hAnsi="Times New Roman" w:cs="Times New Roman"/>
          <w:sz w:val="24"/>
          <w:szCs w:val="24"/>
        </w:rPr>
        <w:t>actuarial input</w:t>
      </w:r>
      <w:r w:rsidR="00666387">
        <w:rPr>
          <w:rFonts w:ascii="Times New Roman" w:hAnsi="Times New Roman" w:cs="Times New Roman"/>
          <w:sz w:val="24"/>
          <w:szCs w:val="24"/>
        </w:rPr>
        <w:t>s</w:t>
      </w:r>
      <w:r w:rsidR="00966E6A">
        <w:rPr>
          <w:rFonts w:ascii="Times New Roman" w:hAnsi="Times New Roman" w:cs="Times New Roman"/>
          <w:sz w:val="24"/>
          <w:szCs w:val="24"/>
        </w:rPr>
        <w:t xml:space="preserve"> whe</w:t>
      </w:r>
      <w:r w:rsidR="00796EAA">
        <w:rPr>
          <w:rFonts w:ascii="Times New Roman" w:hAnsi="Times New Roman" w:cs="Times New Roman"/>
          <w:sz w:val="24"/>
          <w:szCs w:val="24"/>
        </w:rPr>
        <w:t>n</w:t>
      </w:r>
      <w:r w:rsidR="00966E6A">
        <w:rPr>
          <w:rFonts w:ascii="Times New Roman" w:hAnsi="Times New Roman" w:cs="Times New Roman"/>
          <w:sz w:val="24"/>
          <w:szCs w:val="24"/>
        </w:rPr>
        <w:t xml:space="preserve"> </w:t>
      </w:r>
      <w:r w:rsidR="00D466D2">
        <w:rPr>
          <w:rFonts w:ascii="Times New Roman" w:hAnsi="Times New Roman" w:cs="Times New Roman"/>
          <w:sz w:val="24"/>
          <w:szCs w:val="24"/>
        </w:rPr>
        <w:t>they change simultaneously with other factors</w:t>
      </w:r>
      <w:r w:rsidR="00966E6A">
        <w:rPr>
          <w:rFonts w:ascii="Times New Roman" w:hAnsi="Times New Roman" w:cs="Times New Roman"/>
          <w:sz w:val="24"/>
          <w:szCs w:val="24"/>
        </w:rPr>
        <w:t xml:space="preserve"> and there are not enough observations to gain </w:t>
      </w:r>
      <w:r w:rsidR="00796EAA">
        <w:rPr>
          <w:rFonts w:ascii="Times New Roman" w:hAnsi="Times New Roman" w:cs="Times New Roman"/>
          <w:sz w:val="24"/>
          <w:szCs w:val="24"/>
        </w:rPr>
        <w:t>enough statistical power to isolate the marginal effect</w:t>
      </w:r>
      <w:r w:rsidR="00666387">
        <w:rPr>
          <w:rFonts w:ascii="Times New Roman" w:hAnsi="Times New Roman" w:cs="Times New Roman"/>
          <w:sz w:val="24"/>
          <w:szCs w:val="24"/>
        </w:rPr>
        <w:t>s</w:t>
      </w:r>
      <w:r w:rsidR="00796EAA">
        <w:rPr>
          <w:rFonts w:ascii="Times New Roman" w:hAnsi="Times New Roman" w:cs="Times New Roman"/>
          <w:sz w:val="24"/>
          <w:szCs w:val="24"/>
        </w:rPr>
        <w:t xml:space="preserve"> of </w:t>
      </w:r>
      <w:r w:rsidR="00666387">
        <w:rPr>
          <w:rFonts w:ascii="Times New Roman" w:hAnsi="Times New Roman" w:cs="Times New Roman"/>
          <w:sz w:val="24"/>
          <w:szCs w:val="24"/>
        </w:rPr>
        <w:t xml:space="preserve">individual </w:t>
      </w:r>
      <w:r w:rsidR="00796EAA">
        <w:rPr>
          <w:rFonts w:ascii="Times New Roman" w:hAnsi="Times New Roman" w:cs="Times New Roman"/>
          <w:sz w:val="24"/>
          <w:szCs w:val="24"/>
        </w:rPr>
        <w:t xml:space="preserve">actuarial inputs. </w:t>
      </w:r>
      <w:r w:rsidR="00666387">
        <w:rPr>
          <w:rFonts w:ascii="Times New Roman" w:hAnsi="Times New Roman" w:cs="Times New Roman"/>
          <w:sz w:val="24"/>
          <w:szCs w:val="24"/>
        </w:rPr>
        <w:t>Third</w:t>
      </w:r>
      <w:r w:rsidR="00796EAA">
        <w:rPr>
          <w:rFonts w:ascii="Times New Roman" w:hAnsi="Times New Roman" w:cs="Times New Roman"/>
          <w:sz w:val="24"/>
          <w:szCs w:val="24"/>
        </w:rPr>
        <w:t xml:space="preserve">, </w:t>
      </w:r>
      <w:r w:rsidR="00666387">
        <w:rPr>
          <w:rFonts w:ascii="Times New Roman" w:hAnsi="Times New Roman" w:cs="Times New Roman"/>
          <w:sz w:val="24"/>
          <w:szCs w:val="24"/>
        </w:rPr>
        <w:t>governments</w:t>
      </w:r>
      <w:r w:rsidR="00796EAA">
        <w:rPr>
          <w:rFonts w:ascii="Times New Roman" w:hAnsi="Times New Roman" w:cs="Times New Roman"/>
          <w:sz w:val="24"/>
          <w:szCs w:val="24"/>
        </w:rPr>
        <w:t xml:space="preserve"> </w:t>
      </w:r>
      <w:r w:rsidR="00666387">
        <w:rPr>
          <w:rFonts w:ascii="Times New Roman" w:hAnsi="Times New Roman" w:cs="Times New Roman"/>
          <w:sz w:val="24"/>
          <w:szCs w:val="24"/>
        </w:rPr>
        <w:t>rarely</w:t>
      </w:r>
      <w:r w:rsidR="00796EAA">
        <w:rPr>
          <w:rFonts w:ascii="Times New Roman" w:hAnsi="Times New Roman" w:cs="Times New Roman"/>
          <w:sz w:val="24"/>
          <w:szCs w:val="24"/>
        </w:rPr>
        <w:t xml:space="preserve"> change</w:t>
      </w:r>
      <w:r w:rsidR="00666387">
        <w:rPr>
          <w:rFonts w:ascii="Times New Roman" w:hAnsi="Times New Roman" w:cs="Times New Roman"/>
          <w:sz w:val="24"/>
          <w:szCs w:val="24"/>
        </w:rPr>
        <w:t xml:space="preserve"> some actuarial inputs</w:t>
      </w:r>
      <w:r w:rsidR="00D466D2">
        <w:rPr>
          <w:rFonts w:ascii="Times New Roman" w:hAnsi="Times New Roman" w:cs="Times New Roman"/>
          <w:sz w:val="24"/>
          <w:szCs w:val="24"/>
        </w:rPr>
        <w:t>, such as mortality tables</w:t>
      </w:r>
      <w:r w:rsidR="00666387">
        <w:rPr>
          <w:rFonts w:ascii="Times New Roman" w:hAnsi="Times New Roman" w:cs="Times New Roman"/>
          <w:sz w:val="24"/>
          <w:szCs w:val="24"/>
        </w:rPr>
        <w:t>, so even a ten-year time series</w:t>
      </w:r>
      <w:r w:rsidR="00796EAA">
        <w:rPr>
          <w:rFonts w:ascii="Times New Roman" w:hAnsi="Times New Roman" w:cs="Times New Roman"/>
          <w:sz w:val="24"/>
          <w:szCs w:val="24"/>
        </w:rPr>
        <w:t xml:space="preserve"> may not be enough time to obtain a significant number of </w:t>
      </w:r>
      <w:r w:rsidR="00666387">
        <w:rPr>
          <w:rFonts w:ascii="Times New Roman" w:hAnsi="Times New Roman" w:cs="Times New Roman"/>
          <w:sz w:val="24"/>
          <w:szCs w:val="24"/>
        </w:rPr>
        <w:t xml:space="preserve">observations of input </w:t>
      </w:r>
      <w:r w:rsidR="00796EAA">
        <w:rPr>
          <w:rFonts w:ascii="Times New Roman" w:hAnsi="Times New Roman" w:cs="Times New Roman"/>
          <w:sz w:val="24"/>
          <w:szCs w:val="24"/>
        </w:rPr>
        <w:t xml:space="preserve">changes. </w:t>
      </w:r>
      <w:r w:rsidR="00666387">
        <w:rPr>
          <w:rFonts w:ascii="Times New Roman" w:hAnsi="Times New Roman" w:cs="Times New Roman"/>
          <w:sz w:val="24"/>
          <w:szCs w:val="24"/>
        </w:rPr>
        <w:t>Fourth, the marginal effects of actuarial inputs greatly depend on the inactive relationships of other input values, and there are only a limited number of pension systems to observe all the possible combinations of those values.</w:t>
      </w:r>
      <w:r w:rsidR="004F2628">
        <w:rPr>
          <w:rFonts w:ascii="Times New Roman" w:hAnsi="Times New Roman" w:cs="Times New Roman"/>
          <w:sz w:val="24"/>
          <w:szCs w:val="24"/>
        </w:rPr>
        <w:t xml:space="preserve"> </w:t>
      </w:r>
    </w:p>
    <w:p w14:paraId="089347B6" w14:textId="3DF2CDDE" w:rsidR="004F2628" w:rsidRDefault="006A7BF1" w:rsidP="00663DD8">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Simulation</w:t>
      </w:r>
      <w:r w:rsidR="00601DDE">
        <w:rPr>
          <w:rFonts w:ascii="Times New Roman" w:hAnsi="Times New Roman" w:cs="Times New Roman"/>
          <w:sz w:val="24"/>
          <w:szCs w:val="24"/>
        </w:rPr>
        <w:t xml:space="preserve">s have been used </w:t>
      </w:r>
      <w:r w:rsidR="00B76C9E">
        <w:rPr>
          <w:rFonts w:ascii="Times New Roman" w:hAnsi="Times New Roman" w:cs="Times New Roman"/>
          <w:sz w:val="24"/>
          <w:szCs w:val="24"/>
        </w:rPr>
        <w:t>in</w:t>
      </w:r>
      <w:r w:rsidR="009B452C">
        <w:rPr>
          <w:rFonts w:ascii="Times New Roman" w:hAnsi="Times New Roman" w:cs="Times New Roman"/>
          <w:sz w:val="24"/>
          <w:szCs w:val="24"/>
        </w:rPr>
        <w:t xml:space="preserve"> prior research on pension management</w:t>
      </w:r>
      <w:r w:rsidR="00601DDE">
        <w:rPr>
          <w:rFonts w:ascii="Times New Roman" w:hAnsi="Times New Roman" w:cs="Times New Roman"/>
          <w:sz w:val="24"/>
          <w:szCs w:val="24"/>
        </w:rPr>
        <w:t xml:space="preserve">. For example, </w:t>
      </w:r>
      <w:proofErr w:type="spellStart"/>
      <w:r w:rsidR="00601DDE" w:rsidRPr="00601DDE">
        <w:rPr>
          <w:rFonts w:ascii="Times New Roman" w:hAnsi="Times New Roman" w:cs="Times New Roman"/>
          <w:sz w:val="24"/>
          <w:szCs w:val="24"/>
        </w:rPr>
        <w:t>Winklevoss</w:t>
      </w:r>
      <w:proofErr w:type="spellEnd"/>
      <w:r w:rsidR="00601DDE" w:rsidRPr="00601DDE">
        <w:rPr>
          <w:rFonts w:ascii="Times New Roman" w:hAnsi="Times New Roman" w:cs="Times New Roman"/>
          <w:sz w:val="24"/>
          <w:szCs w:val="24"/>
        </w:rPr>
        <w:t xml:space="preserve"> &amp; Associates</w:t>
      </w:r>
      <w:r w:rsidR="00601DDE">
        <w:rPr>
          <w:rFonts w:ascii="Times New Roman" w:hAnsi="Times New Roman" w:cs="Times New Roman"/>
          <w:sz w:val="24"/>
          <w:szCs w:val="24"/>
        </w:rPr>
        <w:t xml:space="preserve"> built </w:t>
      </w:r>
      <w:r w:rsidR="00B332C8">
        <w:rPr>
          <w:rFonts w:ascii="Times New Roman" w:hAnsi="Times New Roman" w:cs="Times New Roman"/>
          <w:sz w:val="24"/>
          <w:szCs w:val="24"/>
        </w:rPr>
        <w:t>the</w:t>
      </w:r>
      <w:r w:rsidR="00B76C9E">
        <w:rPr>
          <w:rFonts w:ascii="Times New Roman" w:hAnsi="Times New Roman" w:cs="Times New Roman"/>
          <w:sz w:val="24"/>
          <w:szCs w:val="24"/>
        </w:rPr>
        <w:t xml:space="preserve"> </w:t>
      </w:r>
      <w:r w:rsidR="00B76C9E" w:rsidRPr="00B76C9E">
        <w:rPr>
          <w:rFonts w:ascii="Times New Roman" w:hAnsi="Times New Roman" w:cs="Times New Roman"/>
          <w:sz w:val="24"/>
          <w:szCs w:val="24"/>
        </w:rPr>
        <w:t>Pension Liability and Asset</w:t>
      </w:r>
      <w:r w:rsidR="00B76C9E">
        <w:rPr>
          <w:rFonts w:ascii="Times New Roman" w:hAnsi="Times New Roman" w:cs="Times New Roman"/>
          <w:sz w:val="24"/>
          <w:szCs w:val="24"/>
        </w:rPr>
        <w:t xml:space="preserve"> </w:t>
      </w:r>
      <w:r w:rsidR="00B76C9E" w:rsidRPr="00B76C9E">
        <w:rPr>
          <w:rFonts w:ascii="Times New Roman" w:hAnsi="Times New Roman" w:cs="Times New Roman"/>
          <w:sz w:val="24"/>
          <w:szCs w:val="24"/>
        </w:rPr>
        <w:t>Simulation Model</w:t>
      </w:r>
      <w:r w:rsidR="00B76C9E">
        <w:rPr>
          <w:rFonts w:ascii="Times New Roman" w:hAnsi="Times New Roman" w:cs="Times New Roman"/>
          <w:sz w:val="24"/>
          <w:szCs w:val="24"/>
        </w:rPr>
        <w:t xml:space="preserve"> (PLASM) to inform pension plan managers about possible effects of decisions in pension benefit, funding and investment </w:t>
      </w:r>
      <w:r w:rsidR="00B93BCD">
        <w:rPr>
          <w:rFonts w:ascii="Times New Roman" w:hAnsi="Times New Roman" w:cs="Times New Roman"/>
          <w:sz w:val="24"/>
          <w:szCs w:val="24"/>
        </w:rPr>
        <w:t xml:space="preserve">policies </w:t>
      </w:r>
      <w:r w:rsidR="00B76C9E">
        <w:rPr>
          <w:rFonts w:ascii="Times New Roman" w:hAnsi="Times New Roman" w:cs="Times New Roman"/>
          <w:sz w:val="24"/>
          <w:szCs w:val="24"/>
        </w:rPr>
        <w:t>(</w:t>
      </w:r>
      <w:proofErr w:type="spellStart"/>
      <w:r w:rsidR="00B76C9E">
        <w:rPr>
          <w:rFonts w:ascii="Times New Roman" w:hAnsi="Times New Roman" w:cs="Times New Roman"/>
          <w:sz w:val="24"/>
          <w:szCs w:val="24"/>
        </w:rPr>
        <w:t>Winklevoss</w:t>
      </w:r>
      <w:proofErr w:type="spellEnd"/>
      <w:r w:rsidR="00B76C9E">
        <w:rPr>
          <w:rFonts w:ascii="Times New Roman" w:hAnsi="Times New Roman" w:cs="Times New Roman"/>
          <w:sz w:val="24"/>
          <w:szCs w:val="24"/>
        </w:rPr>
        <w:t xml:space="preserve"> 1982). Kingsland</w:t>
      </w:r>
      <w:r w:rsidR="0097380B">
        <w:rPr>
          <w:rFonts w:ascii="Times New Roman" w:hAnsi="Times New Roman" w:cs="Times New Roman"/>
          <w:sz w:val="24"/>
          <w:szCs w:val="24"/>
        </w:rPr>
        <w:t xml:space="preserve"> and Gruber</w:t>
      </w:r>
      <w:r w:rsidR="00B76C9E">
        <w:rPr>
          <w:rFonts w:ascii="Times New Roman" w:hAnsi="Times New Roman" w:cs="Times New Roman"/>
          <w:sz w:val="24"/>
          <w:szCs w:val="24"/>
        </w:rPr>
        <w:t xml:space="preserve"> (1982) used a simulation model to examine the impact</w:t>
      </w:r>
      <w:r w:rsidR="0097380B">
        <w:rPr>
          <w:rFonts w:ascii="Times New Roman" w:hAnsi="Times New Roman" w:cs="Times New Roman"/>
          <w:sz w:val="24"/>
          <w:szCs w:val="24"/>
        </w:rPr>
        <w:t>s</w:t>
      </w:r>
      <w:r w:rsidR="00B76C9E">
        <w:rPr>
          <w:rFonts w:ascii="Times New Roman" w:hAnsi="Times New Roman" w:cs="Times New Roman"/>
          <w:sz w:val="24"/>
          <w:szCs w:val="24"/>
        </w:rPr>
        <w:t xml:space="preserve"> of investment policies on the financial condition of </w:t>
      </w:r>
      <w:r w:rsidR="00B332C8">
        <w:rPr>
          <w:rFonts w:ascii="Times New Roman" w:hAnsi="Times New Roman" w:cs="Times New Roman"/>
          <w:sz w:val="24"/>
          <w:szCs w:val="24"/>
        </w:rPr>
        <w:t>pension systems</w:t>
      </w:r>
      <w:r w:rsidR="00B76C9E">
        <w:rPr>
          <w:rFonts w:ascii="Times New Roman" w:hAnsi="Times New Roman" w:cs="Times New Roman"/>
          <w:sz w:val="24"/>
          <w:szCs w:val="24"/>
        </w:rPr>
        <w:t>.</w:t>
      </w:r>
      <w:r w:rsidR="0097380B">
        <w:rPr>
          <w:rFonts w:ascii="Times New Roman" w:hAnsi="Times New Roman" w:cs="Times New Roman"/>
          <w:sz w:val="24"/>
          <w:szCs w:val="24"/>
        </w:rPr>
        <w:t xml:space="preserve"> </w:t>
      </w:r>
      <w:r w:rsidR="001225E0">
        <w:rPr>
          <w:rFonts w:ascii="Times New Roman" w:hAnsi="Times New Roman" w:cs="Times New Roman"/>
          <w:sz w:val="24"/>
          <w:szCs w:val="24"/>
        </w:rPr>
        <w:t xml:space="preserve">Fehr, </w:t>
      </w:r>
      <w:proofErr w:type="spellStart"/>
      <w:r w:rsidR="001225E0">
        <w:rPr>
          <w:rFonts w:ascii="Times New Roman" w:hAnsi="Times New Roman" w:cs="Times New Roman"/>
          <w:sz w:val="24"/>
          <w:szCs w:val="24"/>
        </w:rPr>
        <w:t>Kallweit</w:t>
      </w:r>
      <w:proofErr w:type="spellEnd"/>
      <w:r w:rsidR="001225E0">
        <w:rPr>
          <w:rFonts w:ascii="Times New Roman" w:hAnsi="Times New Roman" w:cs="Times New Roman"/>
          <w:sz w:val="24"/>
          <w:szCs w:val="24"/>
        </w:rPr>
        <w:t xml:space="preserve"> and </w:t>
      </w:r>
      <w:proofErr w:type="spellStart"/>
      <w:r w:rsidR="001225E0">
        <w:rPr>
          <w:rFonts w:ascii="Times New Roman" w:hAnsi="Times New Roman" w:cs="Times New Roman"/>
          <w:sz w:val="24"/>
          <w:szCs w:val="24"/>
        </w:rPr>
        <w:t>Kindermann</w:t>
      </w:r>
      <w:proofErr w:type="spellEnd"/>
      <w:r w:rsidR="001225E0">
        <w:rPr>
          <w:rFonts w:ascii="Times New Roman" w:hAnsi="Times New Roman" w:cs="Times New Roman"/>
          <w:sz w:val="24"/>
          <w:szCs w:val="24"/>
        </w:rPr>
        <w:t xml:space="preserve"> (2012) simulated</w:t>
      </w:r>
      <w:r w:rsidR="00EF6899">
        <w:rPr>
          <w:rFonts w:ascii="Times New Roman" w:hAnsi="Times New Roman" w:cs="Times New Roman"/>
          <w:sz w:val="24"/>
          <w:szCs w:val="24"/>
        </w:rPr>
        <w:t xml:space="preserve"> the </w:t>
      </w:r>
      <w:r w:rsidR="00EF6899" w:rsidRPr="00EF6899">
        <w:rPr>
          <w:rFonts w:ascii="Times New Roman" w:hAnsi="Times New Roman" w:cs="Times New Roman"/>
          <w:sz w:val="24"/>
          <w:szCs w:val="24"/>
        </w:rPr>
        <w:t>macroeconomic, welfare and efficiency</w:t>
      </w:r>
      <w:r w:rsidR="00EF6899">
        <w:rPr>
          <w:rFonts w:ascii="Times New Roman" w:hAnsi="Times New Roman" w:cs="Times New Roman"/>
          <w:sz w:val="24"/>
          <w:szCs w:val="24"/>
        </w:rPr>
        <w:t xml:space="preserve"> consequences of increasing normal retirement age in </w:t>
      </w:r>
      <w:r w:rsidR="00B332C8">
        <w:rPr>
          <w:rFonts w:ascii="Times New Roman" w:hAnsi="Times New Roman" w:cs="Times New Roman"/>
          <w:sz w:val="24"/>
          <w:szCs w:val="24"/>
        </w:rPr>
        <w:t xml:space="preserve">the </w:t>
      </w:r>
      <w:r w:rsidR="00EF6899">
        <w:rPr>
          <w:rFonts w:ascii="Times New Roman" w:hAnsi="Times New Roman" w:cs="Times New Roman"/>
          <w:sz w:val="24"/>
          <w:szCs w:val="24"/>
        </w:rPr>
        <w:t xml:space="preserve">German </w:t>
      </w:r>
      <w:r w:rsidR="00B332C8">
        <w:rPr>
          <w:rFonts w:ascii="Times New Roman" w:hAnsi="Times New Roman" w:cs="Times New Roman"/>
          <w:sz w:val="24"/>
          <w:szCs w:val="24"/>
        </w:rPr>
        <w:t xml:space="preserve">national </w:t>
      </w:r>
      <w:r w:rsidR="00EF6899">
        <w:rPr>
          <w:rFonts w:ascii="Times New Roman" w:hAnsi="Times New Roman" w:cs="Times New Roman"/>
          <w:sz w:val="24"/>
          <w:szCs w:val="24"/>
        </w:rPr>
        <w:t>pension system.</w:t>
      </w:r>
      <w:r w:rsidR="001225E0">
        <w:rPr>
          <w:rFonts w:ascii="Times New Roman" w:hAnsi="Times New Roman" w:cs="Times New Roman"/>
          <w:sz w:val="24"/>
          <w:szCs w:val="24"/>
        </w:rPr>
        <w:t xml:space="preserve"> </w:t>
      </w:r>
      <w:r w:rsidR="00EA2E07">
        <w:rPr>
          <w:rFonts w:ascii="Times New Roman" w:hAnsi="Times New Roman" w:cs="Times New Roman"/>
          <w:sz w:val="24"/>
          <w:szCs w:val="24"/>
        </w:rPr>
        <w:t>T</w:t>
      </w:r>
      <w:r w:rsidR="004F2628">
        <w:rPr>
          <w:rFonts w:ascii="Times New Roman" w:hAnsi="Times New Roman" w:cs="Times New Roman"/>
          <w:sz w:val="24"/>
          <w:szCs w:val="24"/>
        </w:rPr>
        <w:t xml:space="preserve">o our knowledge, </w:t>
      </w:r>
      <w:r w:rsidR="009B452C">
        <w:rPr>
          <w:rFonts w:ascii="Times New Roman" w:hAnsi="Times New Roman" w:cs="Times New Roman"/>
          <w:sz w:val="24"/>
          <w:szCs w:val="24"/>
        </w:rPr>
        <w:t xml:space="preserve">however, no </w:t>
      </w:r>
      <w:r w:rsidR="004F2628">
        <w:rPr>
          <w:rFonts w:ascii="Times New Roman" w:hAnsi="Times New Roman" w:cs="Times New Roman"/>
          <w:sz w:val="24"/>
          <w:szCs w:val="24"/>
        </w:rPr>
        <w:t xml:space="preserve">similar work has been done </w:t>
      </w:r>
      <w:r w:rsidR="00EA2E07">
        <w:rPr>
          <w:rFonts w:ascii="Times New Roman" w:hAnsi="Times New Roman" w:cs="Times New Roman"/>
          <w:sz w:val="24"/>
          <w:szCs w:val="24"/>
        </w:rPr>
        <w:t xml:space="preserve">to </w:t>
      </w:r>
      <w:r w:rsidR="009B452C">
        <w:rPr>
          <w:rFonts w:ascii="Times New Roman" w:hAnsi="Times New Roman" w:cs="Times New Roman"/>
          <w:sz w:val="24"/>
          <w:szCs w:val="24"/>
        </w:rPr>
        <w:t>s</w:t>
      </w:r>
      <w:r w:rsidR="009B452C" w:rsidRPr="009B452C">
        <w:rPr>
          <w:rFonts w:ascii="Times New Roman" w:hAnsi="Times New Roman" w:cs="Times New Roman"/>
          <w:sz w:val="24"/>
          <w:szCs w:val="24"/>
        </w:rPr>
        <w:t>ystematically</w:t>
      </w:r>
      <w:r w:rsidR="009B452C">
        <w:rPr>
          <w:rFonts w:ascii="Times New Roman" w:hAnsi="Times New Roman" w:cs="Times New Roman"/>
          <w:sz w:val="24"/>
          <w:szCs w:val="24"/>
        </w:rPr>
        <w:t xml:space="preserve"> </w:t>
      </w:r>
      <w:r w:rsidR="00EA2E07">
        <w:rPr>
          <w:rFonts w:ascii="Times New Roman" w:hAnsi="Times New Roman" w:cs="Times New Roman"/>
          <w:sz w:val="24"/>
          <w:szCs w:val="24"/>
        </w:rPr>
        <w:t>examine the effect</w:t>
      </w:r>
      <w:r w:rsidR="009B452C">
        <w:rPr>
          <w:rFonts w:ascii="Times New Roman" w:hAnsi="Times New Roman" w:cs="Times New Roman"/>
          <w:sz w:val="24"/>
          <w:szCs w:val="24"/>
        </w:rPr>
        <w:t>s</w:t>
      </w:r>
      <w:r w:rsidR="00EA2E07">
        <w:rPr>
          <w:rFonts w:ascii="Times New Roman" w:hAnsi="Times New Roman" w:cs="Times New Roman"/>
          <w:sz w:val="24"/>
          <w:szCs w:val="24"/>
        </w:rPr>
        <w:t xml:space="preserve"> of changes in </w:t>
      </w:r>
      <w:r w:rsidR="009B452C">
        <w:rPr>
          <w:rFonts w:ascii="Times New Roman" w:hAnsi="Times New Roman" w:cs="Times New Roman"/>
          <w:sz w:val="24"/>
          <w:szCs w:val="24"/>
        </w:rPr>
        <w:t xml:space="preserve">various </w:t>
      </w:r>
      <w:r w:rsidR="00EA2E07">
        <w:rPr>
          <w:rFonts w:ascii="Times New Roman" w:hAnsi="Times New Roman" w:cs="Times New Roman"/>
          <w:sz w:val="24"/>
          <w:szCs w:val="24"/>
        </w:rPr>
        <w:t xml:space="preserve">actuarial </w:t>
      </w:r>
      <w:r w:rsidR="00B332C8">
        <w:rPr>
          <w:rFonts w:ascii="Times New Roman" w:hAnsi="Times New Roman" w:cs="Times New Roman"/>
          <w:sz w:val="24"/>
          <w:szCs w:val="24"/>
        </w:rPr>
        <w:t>inputs</w:t>
      </w:r>
      <w:r w:rsidR="0097380B">
        <w:rPr>
          <w:rFonts w:ascii="Times New Roman" w:hAnsi="Times New Roman" w:cs="Times New Roman"/>
          <w:sz w:val="24"/>
          <w:szCs w:val="24"/>
        </w:rPr>
        <w:t xml:space="preserve"> or to inform </w:t>
      </w:r>
      <w:r w:rsidR="001225E0">
        <w:rPr>
          <w:rFonts w:ascii="Times New Roman" w:hAnsi="Times New Roman" w:cs="Times New Roman"/>
          <w:sz w:val="24"/>
          <w:szCs w:val="24"/>
        </w:rPr>
        <w:t xml:space="preserve">current </w:t>
      </w:r>
      <w:r w:rsidR="0097380B">
        <w:rPr>
          <w:rFonts w:ascii="Times New Roman" w:hAnsi="Times New Roman" w:cs="Times New Roman"/>
          <w:sz w:val="24"/>
          <w:szCs w:val="24"/>
        </w:rPr>
        <w:t>policy debates on public pension systems</w:t>
      </w:r>
      <w:r w:rsidR="00EA2E07">
        <w:rPr>
          <w:rFonts w:ascii="Times New Roman" w:hAnsi="Times New Roman" w:cs="Times New Roman"/>
          <w:sz w:val="24"/>
          <w:szCs w:val="24"/>
        </w:rPr>
        <w:t>. Our research fills this gap.</w:t>
      </w:r>
    </w:p>
    <w:p w14:paraId="3B0C7B17" w14:textId="60187ADA" w:rsidR="009231AA" w:rsidRDefault="00666387" w:rsidP="00663DD8">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97380B">
        <w:rPr>
          <w:rFonts w:ascii="Times New Roman" w:hAnsi="Times New Roman" w:cs="Times New Roman"/>
          <w:sz w:val="24"/>
          <w:szCs w:val="24"/>
        </w:rPr>
        <w:t>S</w:t>
      </w:r>
      <w:r w:rsidR="00796EAA">
        <w:rPr>
          <w:rFonts w:ascii="Times New Roman" w:hAnsi="Times New Roman" w:cs="Times New Roman"/>
          <w:sz w:val="24"/>
          <w:szCs w:val="24"/>
        </w:rPr>
        <w:t xml:space="preserve">ince </w:t>
      </w:r>
      <w:r w:rsidR="00966E6A">
        <w:rPr>
          <w:rFonts w:ascii="Times New Roman" w:hAnsi="Times New Roman" w:cs="Times New Roman"/>
          <w:sz w:val="24"/>
          <w:szCs w:val="24"/>
        </w:rPr>
        <w:t>actuarial inputs have deterministic effects</w:t>
      </w:r>
      <w:r w:rsidR="00796EAA">
        <w:rPr>
          <w:rFonts w:ascii="Times New Roman" w:hAnsi="Times New Roman" w:cs="Times New Roman"/>
          <w:sz w:val="24"/>
          <w:szCs w:val="24"/>
        </w:rPr>
        <w:t xml:space="preserve"> on pension liabilities </w:t>
      </w:r>
      <w:r w:rsidR="00966E6A">
        <w:rPr>
          <w:rFonts w:ascii="Times New Roman" w:hAnsi="Times New Roman" w:cs="Times New Roman"/>
          <w:sz w:val="24"/>
          <w:szCs w:val="24"/>
        </w:rPr>
        <w:t xml:space="preserve">and contribution </w:t>
      </w:r>
      <w:r w:rsidR="00565CBB">
        <w:rPr>
          <w:rFonts w:ascii="Times New Roman" w:hAnsi="Times New Roman" w:cs="Times New Roman"/>
          <w:sz w:val="24"/>
          <w:szCs w:val="24"/>
        </w:rPr>
        <w:t>requirements</w:t>
      </w:r>
      <w:r w:rsidR="00966E6A">
        <w:rPr>
          <w:rFonts w:ascii="Times New Roman" w:hAnsi="Times New Roman" w:cs="Times New Roman"/>
          <w:sz w:val="24"/>
          <w:szCs w:val="24"/>
        </w:rPr>
        <w:t xml:space="preserve">, it is possible to simulate </w:t>
      </w:r>
      <w:r w:rsidR="00796EAA">
        <w:rPr>
          <w:rFonts w:ascii="Times New Roman" w:hAnsi="Times New Roman" w:cs="Times New Roman"/>
          <w:sz w:val="24"/>
          <w:szCs w:val="24"/>
        </w:rPr>
        <w:t>the relationship</w:t>
      </w:r>
      <w:r w:rsidR="00D466D2">
        <w:rPr>
          <w:rFonts w:ascii="Times New Roman" w:hAnsi="Times New Roman" w:cs="Times New Roman"/>
          <w:sz w:val="24"/>
          <w:szCs w:val="24"/>
        </w:rPr>
        <w:t>s</w:t>
      </w:r>
      <w:r w:rsidR="00966E6A">
        <w:rPr>
          <w:rFonts w:ascii="Times New Roman" w:hAnsi="Times New Roman" w:cs="Times New Roman"/>
          <w:sz w:val="24"/>
          <w:szCs w:val="24"/>
        </w:rPr>
        <w:t xml:space="preserve"> </w:t>
      </w:r>
      <w:r w:rsidR="00796EAA">
        <w:rPr>
          <w:rFonts w:ascii="Times New Roman" w:hAnsi="Times New Roman" w:cs="Times New Roman"/>
          <w:sz w:val="24"/>
          <w:szCs w:val="24"/>
        </w:rPr>
        <w:t>under</w:t>
      </w:r>
      <w:r w:rsidR="00966E6A">
        <w:rPr>
          <w:rFonts w:ascii="Times New Roman" w:hAnsi="Times New Roman" w:cs="Times New Roman"/>
          <w:sz w:val="24"/>
          <w:szCs w:val="24"/>
        </w:rPr>
        <w:t xml:space="preserve"> hypothetical conditions with a </w:t>
      </w:r>
      <w:r w:rsidR="00796EAA">
        <w:rPr>
          <w:rFonts w:ascii="Times New Roman" w:hAnsi="Times New Roman" w:cs="Times New Roman"/>
          <w:sz w:val="24"/>
          <w:szCs w:val="24"/>
        </w:rPr>
        <w:t xml:space="preserve">reasonable level of </w:t>
      </w:r>
      <w:r w:rsidR="00966E6A">
        <w:rPr>
          <w:rFonts w:ascii="Times New Roman" w:hAnsi="Times New Roman" w:cs="Times New Roman"/>
          <w:sz w:val="24"/>
          <w:szCs w:val="24"/>
        </w:rPr>
        <w:t>external validity.</w:t>
      </w:r>
      <w:r w:rsidR="00C418B2">
        <w:rPr>
          <w:rFonts w:ascii="Times New Roman" w:hAnsi="Times New Roman" w:cs="Times New Roman"/>
          <w:sz w:val="24"/>
          <w:szCs w:val="24"/>
        </w:rPr>
        <w:t xml:space="preserve"> Also, by isolating the deterministic effects in a controlled </w:t>
      </w:r>
      <w:r w:rsidR="00C418B2">
        <w:rPr>
          <w:rFonts w:ascii="Times New Roman" w:hAnsi="Times New Roman" w:cs="Times New Roman"/>
          <w:sz w:val="24"/>
          <w:szCs w:val="24"/>
        </w:rPr>
        <w:lastRenderedPageBreak/>
        <w:t xml:space="preserve">environment, there is no need for statistical analysis to </w:t>
      </w:r>
      <w:r w:rsidR="00B332C8">
        <w:rPr>
          <w:rFonts w:ascii="Times New Roman" w:hAnsi="Times New Roman" w:cs="Times New Roman"/>
          <w:sz w:val="24"/>
          <w:szCs w:val="24"/>
        </w:rPr>
        <w:t>determine</w:t>
      </w:r>
      <w:r w:rsidR="00C418B2">
        <w:rPr>
          <w:rFonts w:ascii="Times New Roman" w:hAnsi="Times New Roman" w:cs="Times New Roman"/>
          <w:sz w:val="24"/>
          <w:szCs w:val="24"/>
        </w:rPr>
        <w:t xml:space="preserve"> whether </w:t>
      </w:r>
      <w:r w:rsidR="00B332C8">
        <w:rPr>
          <w:rFonts w:ascii="Times New Roman" w:hAnsi="Times New Roman" w:cs="Times New Roman"/>
          <w:sz w:val="24"/>
          <w:szCs w:val="24"/>
        </w:rPr>
        <w:t xml:space="preserve">or not </w:t>
      </w:r>
      <w:r w:rsidR="00C418B2">
        <w:rPr>
          <w:rFonts w:ascii="Times New Roman" w:hAnsi="Times New Roman" w:cs="Times New Roman"/>
          <w:sz w:val="24"/>
          <w:szCs w:val="24"/>
        </w:rPr>
        <w:t xml:space="preserve">differences are the result of random error. </w:t>
      </w:r>
    </w:p>
    <w:p w14:paraId="30194760" w14:textId="6FE15959" w:rsidR="00666387" w:rsidRDefault="00D466D2" w:rsidP="00663DD8">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The conditions in our</w:t>
      </w:r>
      <w:r w:rsidR="009231AA">
        <w:rPr>
          <w:rFonts w:ascii="Times New Roman" w:hAnsi="Times New Roman" w:cs="Times New Roman"/>
          <w:sz w:val="24"/>
          <w:szCs w:val="24"/>
        </w:rPr>
        <w:t xml:space="preserve"> baseline </w:t>
      </w:r>
      <w:r w:rsidR="00966E6A">
        <w:rPr>
          <w:rFonts w:ascii="Times New Roman" w:hAnsi="Times New Roman" w:cs="Times New Roman"/>
          <w:sz w:val="24"/>
          <w:szCs w:val="24"/>
        </w:rPr>
        <w:t xml:space="preserve">simulation </w:t>
      </w:r>
      <w:r w:rsidR="00796EAA">
        <w:rPr>
          <w:rFonts w:ascii="Times New Roman" w:hAnsi="Times New Roman" w:cs="Times New Roman"/>
          <w:sz w:val="24"/>
          <w:szCs w:val="24"/>
        </w:rPr>
        <w:t xml:space="preserve">match </w:t>
      </w:r>
      <w:r w:rsidR="009231AA">
        <w:rPr>
          <w:rFonts w:ascii="Times New Roman" w:hAnsi="Times New Roman" w:cs="Times New Roman"/>
          <w:sz w:val="24"/>
          <w:szCs w:val="24"/>
        </w:rPr>
        <w:t xml:space="preserve">the median </w:t>
      </w:r>
      <w:r>
        <w:rPr>
          <w:rFonts w:ascii="Times New Roman" w:hAnsi="Times New Roman" w:cs="Times New Roman"/>
          <w:sz w:val="24"/>
          <w:szCs w:val="24"/>
        </w:rPr>
        <w:t>conditions</w:t>
      </w:r>
      <w:r w:rsidR="009231AA">
        <w:rPr>
          <w:rFonts w:ascii="Times New Roman" w:hAnsi="Times New Roman" w:cs="Times New Roman"/>
          <w:sz w:val="24"/>
          <w:szCs w:val="24"/>
        </w:rPr>
        <w:t xml:space="preserve"> of pension systems in</w:t>
      </w:r>
      <w:r w:rsidR="00796EAA">
        <w:rPr>
          <w:rFonts w:ascii="Times New Roman" w:hAnsi="Times New Roman" w:cs="Times New Roman"/>
          <w:sz w:val="24"/>
          <w:szCs w:val="24"/>
        </w:rPr>
        <w:t xml:space="preserve"> the </w:t>
      </w:r>
      <w:r w:rsidR="00666387">
        <w:rPr>
          <w:rFonts w:ascii="Times New Roman" w:hAnsi="Times New Roman" w:cs="Times New Roman"/>
          <w:sz w:val="24"/>
          <w:szCs w:val="24"/>
        </w:rPr>
        <w:t>Public Plans Database (</w:t>
      </w:r>
      <w:r w:rsidR="00796EAA">
        <w:rPr>
          <w:rFonts w:ascii="Times New Roman" w:hAnsi="Times New Roman" w:cs="Times New Roman"/>
          <w:sz w:val="24"/>
          <w:szCs w:val="24"/>
        </w:rPr>
        <w:t>PPD</w:t>
      </w:r>
      <w:r w:rsidR="00666387">
        <w:rPr>
          <w:rFonts w:ascii="Times New Roman" w:hAnsi="Times New Roman" w:cs="Times New Roman"/>
          <w:sz w:val="24"/>
          <w:szCs w:val="24"/>
        </w:rPr>
        <w:t>)</w:t>
      </w:r>
      <w:r w:rsidR="00796EAA">
        <w:rPr>
          <w:rFonts w:ascii="Times New Roman" w:hAnsi="Times New Roman" w:cs="Times New Roman"/>
          <w:sz w:val="24"/>
          <w:szCs w:val="24"/>
        </w:rPr>
        <w:t>. We call this baseline simulation</w:t>
      </w:r>
      <w:r w:rsidR="009231AA">
        <w:rPr>
          <w:rFonts w:ascii="Times New Roman" w:hAnsi="Times New Roman" w:cs="Times New Roman"/>
          <w:sz w:val="24"/>
          <w:szCs w:val="24"/>
        </w:rPr>
        <w:t xml:space="preserve"> </w:t>
      </w:r>
      <w:r w:rsidR="00FC1E03">
        <w:rPr>
          <w:rFonts w:ascii="Times New Roman" w:hAnsi="Times New Roman" w:cs="Times New Roman"/>
          <w:sz w:val="24"/>
          <w:szCs w:val="24"/>
        </w:rPr>
        <w:t>the “</w:t>
      </w:r>
      <w:r w:rsidR="00816EFC">
        <w:rPr>
          <w:rFonts w:ascii="Times New Roman" w:hAnsi="Times New Roman" w:cs="Times New Roman"/>
          <w:sz w:val="24"/>
          <w:szCs w:val="24"/>
        </w:rPr>
        <w:t>m</w:t>
      </w:r>
      <w:r w:rsidR="00FC1E03">
        <w:rPr>
          <w:rFonts w:ascii="Times New Roman" w:hAnsi="Times New Roman" w:cs="Times New Roman"/>
          <w:sz w:val="24"/>
          <w:szCs w:val="24"/>
        </w:rPr>
        <w:t>edian plan</w:t>
      </w:r>
      <w:r w:rsidR="009231AA">
        <w:rPr>
          <w:rFonts w:ascii="Times New Roman" w:hAnsi="Times New Roman" w:cs="Times New Roman"/>
          <w:sz w:val="24"/>
          <w:szCs w:val="24"/>
        </w:rPr>
        <w:t>.</w:t>
      </w:r>
      <w:r w:rsidR="00666387">
        <w:rPr>
          <w:rFonts w:ascii="Times New Roman" w:hAnsi="Times New Roman" w:cs="Times New Roman"/>
          <w:sz w:val="24"/>
          <w:szCs w:val="24"/>
        </w:rPr>
        <w:t>”</w:t>
      </w:r>
      <w:r w:rsidR="009231AA">
        <w:rPr>
          <w:rFonts w:ascii="Times New Roman" w:hAnsi="Times New Roman" w:cs="Times New Roman"/>
          <w:sz w:val="24"/>
          <w:szCs w:val="24"/>
        </w:rPr>
        <w:t xml:space="preserve"> We then identified the potential ranges of actual inputs by looking at the </w:t>
      </w:r>
      <w:r w:rsidR="003B1E4C">
        <w:rPr>
          <w:rFonts w:ascii="Times New Roman" w:hAnsi="Times New Roman" w:cs="Times New Roman"/>
          <w:sz w:val="24"/>
          <w:szCs w:val="24"/>
        </w:rPr>
        <w:t xml:space="preserve">observed </w:t>
      </w:r>
      <w:r w:rsidR="009231AA">
        <w:rPr>
          <w:rFonts w:ascii="Times New Roman" w:hAnsi="Times New Roman" w:cs="Times New Roman"/>
          <w:sz w:val="24"/>
          <w:szCs w:val="24"/>
        </w:rPr>
        <w:t>range of actuarial inputs</w:t>
      </w:r>
      <w:r w:rsidR="00796EAA">
        <w:rPr>
          <w:rFonts w:ascii="Times New Roman" w:hAnsi="Times New Roman" w:cs="Times New Roman"/>
          <w:sz w:val="24"/>
          <w:szCs w:val="24"/>
        </w:rPr>
        <w:t xml:space="preserve"> </w:t>
      </w:r>
      <w:r w:rsidR="008E625C">
        <w:rPr>
          <w:rFonts w:ascii="Times New Roman" w:hAnsi="Times New Roman" w:cs="Times New Roman"/>
          <w:sz w:val="24"/>
          <w:szCs w:val="24"/>
        </w:rPr>
        <w:t xml:space="preserve">in the PPD </w:t>
      </w:r>
      <w:r w:rsidR="00796EAA">
        <w:rPr>
          <w:rFonts w:ascii="Times New Roman" w:hAnsi="Times New Roman" w:cs="Times New Roman"/>
          <w:sz w:val="24"/>
          <w:szCs w:val="24"/>
        </w:rPr>
        <w:t>in order to identify the size of potential changes to the liabilities and contribution requirements for the median plan</w:t>
      </w:r>
      <w:r w:rsidR="003B1E4C">
        <w:rPr>
          <w:rFonts w:ascii="Times New Roman" w:hAnsi="Times New Roman" w:cs="Times New Roman"/>
          <w:sz w:val="24"/>
          <w:szCs w:val="24"/>
        </w:rPr>
        <w:t xml:space="preserve">. </w:t>
      </w:r>
      <w:r w:rsidR="00666387">
        <w:rPr>
          <w:rFonts w:ascii="Times New Roman" w:hAnsi="Times New Roman" w:cs="Times New Roman"/>
          <w:sz w:val="24"/>
          <w:szCs w:val="24"/>
        </w:rPr>
        <w:t>As mentioned above, we use the 1</w:t>
      </w:r>
      <w:r w:rsidR="00666387" w:rsidRPr="00666387">
        <w:rPr>
          <w:rFonts w:ascii="Times New Roman" w:hAnsi="Times New Roman" w:cs="Times New Roman"/>
          <w:sz w:val="24"/>
          <w:szCs w:val="24"/>
          <w:vertAlign w:val="superscript"/>
        </w:rPr>
        <w:t>st</w:t>
      </w:r>
      <w:r w:rsidR="00666387">
        <w:rPr>
          <w:rFonts w:ascii="Times New Roman" w:hAnsi="Times New Roman" w:cs="Times New Roman"/>
          <w:sz w:val="24"/>
          <w:szCs w:val="24"/>
        </w:rPr>
        <w:t xml:space="preserve"> and 99</w:t>
      </w:r>
      <w:r w:rsidR="00666387" w:rsidRPr="00666387">
        <w:rPr>
          <w:rFonts w:ascii="Times New Roman" w:hAnsi="Times New Roman" w:cs="Times New Roman"/>
          <w:sz w:val="24"/>
          <w:szCs w:val="24"/>
          <w:vertAlign w:val="superscript"/>
        </w:rPr>
        <w:t>th</w:t>
      </w:r>
      <w:r w:rsidR="00666387">
        <w:rPr>
          <w:rFonts w:ascii="Times New Roman" w:hAnsi="Times New Roman" w:cs="Times New Roman"/>
          <w:sz w:val="24"/>
          <w:szCs w:val="24"/>
        </w:rPr>
        <w:t xml:space="preserve"> percentile values, rather than the minimum and maximum values, in order to avoid significant outliers.</w:t>
      </w:r>
    </w:p>
    <w:p w14:paraId="66890131" w14:textId="64A90F9E" w:rsidR="005828CB" w:rsidRDefault="00666387" w:rsidP="00663DD8">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3B1E4C">
        <w:rPr>
          <w:rFonts w:ascii="Times New Roman" w:hAnsi="Times New Roman" w:cs="Times New Roman"/>
          <w:sz w:val="24"/>
          <w:szCs w:val="24"/>
        </w:rPr>
        <w:t>T</w:t>
      </w:r>
      <w:r w:rsidR="005828CB">
        <w:rPr>
          <w:rFonts w:ascii="Times New Roman" w:hAnsi="Times New Roman" w:cs="Times New Roman"/>
          <w:sz w:val="24"/>
          <w:szCs w:val="24"/>
        </w:rPr>
        <w:t xml:space="preserve">he basic parameters </w:t>
      </w:r>
      <w:r w:rsidR="00966E6A">
        <w:rPr>
          <w:rFonts w:ascii="Times New Roman" w:hAnsi="Times New Roman" w:cs="Times New Roman"/>
          <w:sz w:val="24"/>
          <w:szCs w:val="24"/>
        </w:rPr>
        <w:t xml:space="preserve">for </w:t>
      </w:r>
      <w:r w:rsidR="00796EAA">
        <w:rPr>
          <w:rFonts w:ascii="Times New Roman" w:hAnsi="Times New Roman" w:cs="Times New Roman"/>
          <w:sz w:val="24"/>
          <w:szCs w:val="24"/>
        </w:rPr>
        <w:t>the</w:t>
      </w:r>
      <w:r w:rsidR="00966E6A">
        <w:rPr>
          <w:rFonts w:ascii="Times New Roman" w:hAnsi="Times New Roman" w:cs="Times New Roman"/>
          <w:sz w:val="24"/>
          <w:szCs w:val="24"/>
        </w:rPr>
        <w:t xml:space="preserve"> median plan are: </w:t>
      </w:r>
    </w:p>
    <w:p w14:paraId="6672ABF0" w14:textId="19F8E689" w:rsidR="006A3012" w:rsidRDefault="006A3012" w:rsidP="006A3012">
      <w:pPr>
        <w:pStyle w:val="ListParagraph"/>
        <w:numPr>
          <w:ilvl w:val="0"/>
          <w:numId w:val="5"/>
        </w:numPr>
        <w:spacing w:after="0" w:line="480" w:lineRule="auto"/>
        <w:rPr>
          <w:rFonts w:ascii="Times New Roman" w:hAnsi="Times New Roman" w:cs="Times New Roman"/>
          <w:sz w:val="24"/>
          <w:szCs w:val="24"/>
        </w:rPr>
      </w:pPr>
      <w:r>
        <w:rPr>
          <w:rFonts w:ascii="Times New Roman" w:hAnsi="Times New Roman" w:cs="Times New Roman"/>
          <w:sz w:val="24"/>
          <w:szCs w:val="24"/>
        </w:rPr>
        <w:t>108 active employees and 54 retirees</w:t>
      </w:r>
      <w:r w:rsidR="00FC1E03">
        <w:rPr>
          <w:rFonts w:ascii="Times New Roman" w:hAnsi="Times New Roman" w:cs="Times New Roman"/>
          <w:sz w:val="24"/>
          <w:szCs w:val="24"/>
        </w:rPr>
        <w:t xml:space="preserve"> (retirees are </w:t>
      </w:r>
      <w:r w:rsidR="00297B1D">
        <w:rPr>
          <w:rFonts w:ascii="Times New Roman" w:hAnsi="Times New Roman" w:cs="Times New Roman"/>
          <w:sz w:val="24"/>
          <w:szCs w:val="24"/>
        </w:rPr>
        <w:t xml:space="preserve">approximately </w:t>
      </w:r>
      <w:r w:rsidR="00FC1E03">
        <w:rPr>
          <w:rFonts w:ascii="Times New Roman" w:hAnsi="Times New Roman" w:cs="Times New Roman"/>
          <w:sz w:val="24"/>
          <w:szCs w:val="24"/>
        </w:rPr>
        <w:t xml:space="preserve">1/3 of total </w:t>
      </w:r>
      <w:r w:rsidR="00D466D2">
        <w:rPr>
          <w:rFonts w:ascii="Times New Roman" w:hAnsi="Times New Roman" w:cs="Times New Roman"/>
          <w:sz w:val="24"/>
          <w:szCs w:val="24"/>
        </w:rPr>
        <w:t>participants</w:t>
      </w:r>
      <w:r w:rsidR="00FC1E03">
        <w:rPr>
          <w:rFonts w:ascii="Times New Roman" w:hAnsi="Times New Roman" w:cs="Times New Roman"/>
          <w:sz w:val="24"/>
          <w:szCs w:val="24"/>
        </w:rPr>
        <w:t>)</w:t>
      </w:r>
      <w:r w:rsidR="00966E6A">
        <w:rPr>
          <w:rFonts w:ascii="Times New Roman" w:hAnsi="Times New Roman" w:cs="Times New Roman"/>
          <w:sz w:val="24"/>
          <w:szCs w:val="24"/>
        </w:rPr>
        <w:t xml:space="preserve">. </w:t>
      </w:r>
      <w:r w:rsidR="00B332C8">
        <w:rPr>
          <w:rFonts w:ascii="Times New Roman" w:hAnsi="Times New Roman" w:cs="Times New Roman"/>
          <w:sz w:val="24"/>
          <w:szCs w:val="24"/>
        </w:rPr>
        <w:t xml:space="preserve">The number of employees and retirees is the result of including sufficient number of participants in each age category to vary demographic profiles. </w:t>
      </w:r>
      <w:r w:rsidR="000032C9">
        <w:rPr>
          <w:rFonts w:ascii="Times New Roman" w:hAnsi="Times New Roman" w:cs="Times New Roman"/>
          <w:sz w:val="24"/>
          <w:szCs w:val="24"/>
        </w:rPr>
        <w:t>S</w:t>
      </w:r>
      <w:r w:rsidR="00966E6A">
        <w:rPr>
          <w:rFonts w:ascii="Times New Roman" w:hAnsi="Times New Roman" w:cs="Times New Roman"/>
          <w:sz w:val="24"/>
          <w:szCs w:val="24"/>
        </w:rPr>
        <w:t xml:space="preserve">ince </w:t>
      </w:r>
      <w:r w:rsidR="00B332C8">
        <w:rPr>
          <w:rFonts w:ascii="Times New Roman" w:hAnsi="Times New Roman" w:cs="Times New Roman"/>
          <w:sz w:val="24"/>
          <w:szCs w:val="24"/>
        </w:rPr>
        <w:t>the focus of the analysis is on</w:t>
      </w:r>
      <w:r w:rsidR="000032C9">
        <w:rPr>
          <w:rFonts w:ascii="Times New Roman" w:hAnsi="Times New Roman" w:cs="Times New Roman"/>
          <w:sz w:val="24"/>
          <w:szCs w:val="24"/>
        </w:rPr>
        <w:t xml:space="preserve"> </w:t>
      </w:r>
      <w:r w:rsidR="00966E6A">
        <w:rPr>
          <w:rFonts w:ascii="Times New Roman" w:hAnsi="Times New Roman" w:cs="Times New Roman"/>
          <w:sz w:val="24"/>
          <w:szCs w:val="24"/>
        </w:rPr>
        <w:t xml:space="preserve">funding ratios and contribution </w:t>
      </w:r>
      <w:r w:rsidR="000032C9">
        <w:rPr>
          <w:rFonts w:ascii="Times New Roman" w:hAnsi="Times New Roman" w:cs="Times New Roman"/>
          <w:sz w:val="24"/>
          <w:szCs w:val="24"/>
        </w:rPr>
        <w:t>requirements as a share of payroll, rather than raw liabilit</w:t>
      </w:r>
      <w:r w:rsidR="00666387">
        <w:rPr>
          <w:rFonts w:ascii="Times New Roman" w:hAnsi="Times New Roman" w:cs="Times New Roman"/>
          <w:sz w:val="24"/>
          <w:szCs w:val="24"/>
        </w:rPr>
        <w:t>ies</w:t>
      </w:r>
      <w:r w:rsidR="000032C9">
        <w:rPr>
          <w:rFonts w:ascii="Times New Roman" w:hAnsi="Times New Roman" w:cs="Times New Roman"/>
          <w:sz w:val="24"/>
          <w:szCs w:val="24"/>
        </w:rPr>
        <w:t xml:space="preserve"> and contribution level</w:t>
      </w:r>
      <w:r w:rsidR="00666387">
        <w:rPr>
          <w:rFonts w:ascii="Times New Roman" w:hAnsi="Times New Roman" w:cs="Times New Roman"/>
          <w:sz w:val="24"/>
          <w:szCs w:val="24"/>
        </w:rPr>
        <w:t>s</w:t>
      </w:r>
      <w:r w:rsidR="000032C9">
        <w:rPr>
          <w:rFonts w:ascii="Times New Roman" w:hAnsi="Times New Roman" w:cs="Times New Roman"/>
          <w:sz w:val="24"/>
          <w:szCs w:val="24"/>
        </w:rPr>
        <w:t xml:space="preserve">, the number of employees </w:t>
      </w:r>
      <w:r w:rsidR="0098612E">
        <w:rPr>
          <w:rFonts w:ascii="Times New Roman" w:hAnsi="Times New Roman" w:cs="Times New Roman"/>
          <w:sz w:val="24"/>
          <w:szCs w:val="24"/>
        </w:rPr>
        <w:t xml:space="preserve">does not affect </w:t>
      </w:r>
      <w:r w:rsidR="000032C9">
        <w:rPr>
          <w:rFonts w:ascii="Times New Roman" w:hAnsi="Times New Roman" w:cs="Times New Roman"/>
          <w:sz w:val="24"/>
          <w:szCs w:val="24"/>
        </w:rPr>
        <w:t xml:space="preserve">the </w:t>
      </w:r>
      <w:r w:rsidR="00B332C8">
        <w:rPr>
          <w:rFonts w:ascii="Times New Roman" w:hAnsi="Times New Roman" w:cs="Times New Roman"/>
          <w:sz w:val="24"/>
          <w:szCs w:val="24"/>
        </w:rPr>
        <w:t>results</w:t>
      </w:r>
      <w:r w:rsidR="00966E6A">
        <w:rPr>
          <w:rFonts w:ascii="Times New Roman" w:hAnsi="Times New Roman" w:cs="Times New Roman"/>
          <w:sz w:val="24"/>
          <w:szCs w:val="24"/>
        </w:rPr>
        <w:t>.</w:t>
      </w:r>
    </w:p>
    <w:p w14:paraId="1B8B83A8" w14:textId="7CFC90DD" w:rsidR="006A3012" w:rsidRDefault="006A3012" w:rsidP="006A3012">
      <w:pPr>
        <w:pStyle w:val="ListParagraph"/>
        <w:numPr>
          <w:ilvl w:val="0"/>
          <w:numId w:val="5"/>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Employees </w:t>
      </w:r>
      <w:r w:rsidR="00565CBB">
        <w:rPr>
          <w:rFonts w:ascii="Times New Roman" w:hAnsi="Times New Roman" w:cs="Times New Roman"/>
          <w:sz w:val="24"/>
          <w:szCs w:val="24"/>
        </w:rPr>
        <w:t>begin work when they are 30 years old</w:t>
      </w:r>
      <w:r>
        <w:rPr>
          <w:rFonts w:ascii="Times New Roman" w:hAnsi="Times New Roman" w:cs="Times New Roman"/>
          <w:sz w:val="24"/>
          <w:szCs w:val="24"/>
        </w:rPr>
        <w:t xml:space="preserve"> and retire</w:t>
      </w:r>
      <w:r w:rsidR="00966E6A">
        <w:rPr>
          <w:rFonts w:ascii="Times New Roman" w:hAnsi="Times New Roman" w:cs="Times New Roman"/>
          <w:sz w:val="24"/>
          <w:szCs w:val="24"/>
        </w:rPr>
        <w:t xml:space="preserve"> at </w:t>
      </w:r>
      <w:r>
        <w:rPr>
          <w:rFonts w:ascii="Times New Roman" w:hAnsi="Times New Roman" w:cs="Times New Roman"/>
          <w:sz w:val="24"/>
          <w:szCs w:val="24"/>
        </w:rPr>
        <w:t>65</w:t>
      </w:r>
      <w:r w:rsidR="00966E6A">
        <w:rPr>
          <w:rFonts w:ascii="Times New Roman" w:hAnsi="Times New Roman" w:cs="Times New Roman"/>
          <w:sz w:val="24"/>
          <w:szCs w:val="24"/>
        </w:rPr>
        <w:t>.</w:t>
      </w:r>
    </w:p>
    <w:p w14:paraId="215C9881" w14:textId="5780B6BE" w:rsidR="006A3012" w:rsidRDefault="00666387" w:rsidP="006A3012">
      <w:pPr>
        <w:pStyle w:val="ListParagraph"/>
        <w:numPr>
          <w:ilvl w:val="0"/>
          <w:numId w:val="5"/>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w:t>
      </w:r>
      <w:r w:rsidR="008E625C">
        <w:rPr>
          <w:rFonts w:ascii="Times New Roman" w:hAnsi="Times New Roman" w:cs="Times New Roman"/>
          <w:sz w:val="24"/>
          <w:szCs w:val="24"/>
        </w:rPr>
        <w:t xml:space="preserve">annual </w:t>
      </w:r>
      <w:r>
        <w:rPr>
          <w:rFonts w:ascii="Times New Roman" w:hAnsi="Times New Roman" w:cs="Times New Roman"/>
          <w:sz w:val="24"/>
          <w:szCs w:val="24"/>
        </w:rPr>
        <w:t>r</w:t>
      </w:r>
      <w:r w:rsidR="006A3012">
        <w:rPr>
          <w:rFonts w:ascii="Times New Roman" w:hAnsi="Times New Roman" w:cs="Times New Roman"/>
          <w:sz w:val="24"/>
          <w:szCs w:val="24"/>
        </w:rPr>
        <w:t xml:space="preserve">etirement benefit </w:t>
      </w:r>
      <w:r w:rsidR="00966E6A">
        <w:rPr>
          <w:rFonts w:ascii="Times New Roman" w:hAnsi="Times New Roman" w:cs="Times New Roman"/>
          <w:sz w:val="24"/>
          <w:szCs w:val="24"/>
        </w:rPr>
        <w:t>is calculated as (</w:t>
      </w:r>
      <w:r w:rsidR="006A3012" w:rsidRPr="000D0C2D">
        <w:rPr>
          <w:rFonts w:ascii="Times New Roman" w:hAnsi="Times New Roman" w:cs="Times New Roman"/>
          <w:sz w:val="24"/>
          <w:szCs w:val="24"/>
        </w:rPr>
        <w:t>years of service</w:t>
      </w:r>
      <w:r w:rsidR="00966E6A">
        <w:rPr>
          <w:rFonts w:ascii="Times New Roman" w:hAnsi="Times New Roman" w:cs="Times New Roman"/>
          <w:sz w:val="24"/>
          <w:szCs w:val="24"/>
        </w:rPr>
        <w:t>)</w:t>
      </w:r>
      <w:r w:rsidR="006A3012">
        <w:rPr>
          <w:rFonts w:ascii="Times New Roman" w:hAnsi="Times New Roman" w:cs="Times New Roman"/>
          <w:sz w:val="24"/>
          <w:szCs w:val="24"/>
        </w:rPr>
        <w:t xml:space="preserve"> ×</w:t>
      </w:r>
      <w:r w:rsidR="006A3012" w:rsidRPr="000D0C2D">
        <w:rPr>
          <w:rFonts w:ascii="Times New Roman" w:hAnsi="Times New Roman" w:cs="Times New Roman"/>
          <w:sz w:val="24"/>
          <w:szCs w:val="24"/>
        </w:rPr>
        <w:t xml:space="preserve"> </w:t>
      </w:r>
      <w:r w:rsidR="00966E6A">
        <w:rPr>
          <w:rFonts w:ascii="Times New Roman" w:hAnsi="Times New Roman" w:cs="Times New Roman"/>
          <w:sz w:val="24"/>
          <w:szCs w:val="24"/>
        </w:rPr>
        <w:t>(</w:t>
      </w:r>
      <w:r w:rsidR="006A3012" w:rsidRPr="000D0C2D">
        <w:rPr>
          <w:rFonts w:ascii="Times New Roman" w:hAnsi="Times New Roman" w:cs="Times New Roman"/>
          <w:sz w:val="24"/>
          <w:szCs w:val="24"/>
        </w:rPr>
        <w:t>average salary of the last five years</w:t>
      </w:r>
      <w:r w:rsidR="00966E6A">
        <w:rPr>
          <w:rFonts w:ascii="Times New Roman" w:hAnsi="Times New Roman" w:cs="Times New Roman"/>
          <w:sz w:val="24"/>
          <w:szCs w:val="24"/>
        </w:rPr>
        <w:t>)</w:t>
      </w:r>
      <w:r w:rsidR="006A3012">
        <w:rPr>
          <w:rFonts w:ascii="Times New Roman" w:hAnsi="Times New Roman" w:cs="Times New Roman"/>
          <w:sz w:val="24"/>
          <w:szCs w:val="24"/>
        </w:rPr>
        <w:t xml:space="preserve"> ×</w:t>
      </w:r>
      <w:r w:rsidR="006A3012" w:rsidRPr="000D0C2D">
        <w:rPr>
          <w:rFonts w:ascii="Times New Roman" w:hAnsi="Times New Roman" w:cs="Times New Roman"/>
          <w:sz w:val="24"/>
          <w:szCs w:val="24"/>
        </w:rPr>
        <w:t xml:space="preserve"> </w:t>
      </w:r>
      <w:r w:rsidR="00966E6A">
        <w:rPr>
          <w:rFonts w:ascii="Times New Roman" w:hAnsi="Times New Roman" w:cs="Times New Roman"/>
          <w:sz w:val="24"/>
          <w:szCs w:val="24"/>
        </w:rPr>
        <w:t>(</w:t>
      </w:r>
      <w:r w:rsidR="000032C9">
        <w:rPr>
          <w:rFonts w:ascii="Times New Roman" w:hAnsi="Times New Roman" w:cs="Times New Roman"/>
          <w:sz w:val="24"/>
          <w:szCs w:val="24"/>
        </w:rPr>
        <w:t xml:space="preserve">a </w:t>
      </w:r>
      <w:r w:rsidR="006A3012" w:rsidRPr="000D0C2D">
        <w:rPr>
          <w:rFonts w:ascii="Times New Roman" w:hAnsi="Times New Roman" w:cs="Times New Roman"/>
          <w:sz w:val="24"/>
          <w:szCs w:val="24"/>
        </w:rPr>
        <w:t>benefit factor</w:t>
      </w:r>
      <w:r w:rsidR="00966E6A">
        <w:rPr>
          <w:rFonts w:ascii="Times New Roman" w:hAnsi="Times New Roman" w:cs="Times New Roman"/>
          <w:sz w:val="24"/>
          <w:szCs w:val="24"/>
        </w:rPr>
        <w:t xml:space="preserve"> of </w:t>
      </w:r>
      <w:r>
        <w:rPr>
          <w:rFonts w:ascii="Times New Roman" w:hAnsi="Times New Roman" w:cs="Times New Roman"/>
          <w:sz w:val="24"/>
          <w:szCs w:val="24"/>
        </w:rPr>
        <w:t>two</w:t>
      </w:r>
      <w:r w:rsidR="000032C9">
        <w:rPr>
          <w:rFonts w:ascii="Times New Roman" w:hAnsi="Times New Roman" w:cs="Times New Roman"/>
          <w:sz w:val="24"/>
          <w:szCs w:val="24"/>
        </w:rPr>
        <w:t xml:space="preserve"> percent</w:t>
      </w:r>
      <w:r w:rsidR="00966E6A">
        <w:rPr>
          <w:rFonts w:ascii="Times New Roman" w:hAnsi="Times New Roman" w:cs="Times New Roman"/>
          <w:sz w:val="24"/>
          <w:szCs w:val="24"/>
        </w:rPr>
        <w:t>).</w:t>
      </w:r>
    </w:p>
    <w:p w14:paraId="54AE4326" w14:textId="17AB4411" w:rsidR="00C270D8" w:rsidRPr="00C270D8" w:rsidRDefault="00565CBB" w:rsidP="00C270D8">
      <w:pPr>
        <w:pStyle w:val="ListParagraph"/>
        <w:numPr>
          <w:ilvl w:val="0"/>
          <w:numId w:val="5"/>
        </w:numPr>
        <w:spacing w:after="0" w:line="480" w:lineRule="auto"/>
        <w:rPr>
          <w:rFonts w:ascii="Times New Roman" w:hAnsi="Times New Roman" w:cs="Times New Roman"/>
          <w:sz w:val="24"/>
          <w:szCs w:val="24"/>
        </w:rPr>
      </w:pPr>
      <w:r>
        <w:rPr>
          <w:rFonts w:ascii="Times New Roman" w:hAnsi="Times New Roman" w:cs="Times New Roman"/>
          <w:sz w:val="24"/>
          <w:szCs w:val="24"/>
        </w:rPr>
        <w:t>S</w:t>
      </w:r>
      <w:r w:rsidR="00C270D8" w:rsidRPr="00C270D8">
        <w:rPr>
          <w:rFonts w:ascii="Times New Roman" w:hAnsi="Times New Roman" w:cs="Times New Roman"/>
          <w:sz w:val="24"/>
          <w:szCs w:val="24"/>
        </w:rPr>
        <w:t>alar</w:t>
      </w:r>
      <w:r w:rsidR="00966E6A">
        <w:rPr>
          <w:rFonts w:ascii="Times New Roman" w:hAnsi="Times New Roman" w:cs="Times New Roman"/>
          <w:sz w:val="24"/>
          <w:szCs w:val="24"/>
        </w:rPr>
        <w:t>ies grow</w:t>
      </w:r>
      <w:r w:rsidR="000032C9">
        <w:rPr>
          <w:rFonts w:ascii="Times New Roman" w:hAnsi="Times New Roman" w:cs="Times New Roman"/>
          <w:sz w:val="24"/>
          <w:szCs w:val="24"/>
        </w:rPr>
        <w:t>th</w:t>
      </w:r>
      <w:r w:rsidR="00966E6A">
        <w:rPr>
          <w:rFonts w:ascii="Times New Roman" w:hAnsi="Times New Roman" w:cs="Times New Roman"/>
          <w:sz w:val="24"/>
          <w:szCs w:val="24"/>
        </w:rPr>
        <w:t xml:space="preserve"> </w:t>
      </w:r>
      <w:r w:rsidR="000032C9">
        <w:rPr>
          <w:rFonts w:ascii="Times New Roman" w:hAnsi="Times New Roman" w:cs="Times New Roman"/>
          <w:sz w:val="24"/>
          <w:szCs w:val="24"/>
        </w:rPr>
        <w:t xml:space="preserve">is </w:t>
      </w:r>
      <w:r w:rsidR="00666387">
        <w:rPr>
          <w:rFonts w:ascii="Times New Roman" w:hAnsi="Times New Roman" w:cs="Times New Roman"/>
          <w:sz w:val="24"/>
          <w:szCs w:val="24"/>
        </w:rPr>
        <w:t>six</w:t>
      </w:r>
      <w:r w:rsidR="00966E6A">
        <w:rPr>
          <w:rFonts w:ascii="Times New Roman" w:hAnsi="Times New Roman" w:cs="Times New Roman"/>
          <w:sz w:val="24"/>
          <w:szCs w:val="24"/>
        </w:rPr>
        <w:t xml:space="preserve"> percent</w:t>
      </w:r>
      <w:r w:rsidR="00666387">
        <w:rPr>
          <w:rFonts w:ascii="Times New Roman" w:hAnsi="Times New Roman" w:cs="Times New Roman"/>
          <w:sz w:val="24"/>
          <w:szCs w:val="24"/>
        </w:rPr>
        <w:t xml:space="preserve"> (actual growth)</w:t>
      </w:r>
      <w:r w:rsidR="00C270D8" w:rsidRPr="00C270D8">
        <w:rPr>
          <w:rFonts w:ascii="Times New Roman" w:hAnsi="Times New Roman" w:cs="Times New Roman"/>
          <w:sz w:val="24"/>
          <w:szCs w:val="24"/>
        </w:rPr>
        <w:t>.</w:t>
      </w:r>
    </w:p>
    <w:p w14:paraId="536678C5" w14:textId="686E3A8E" w:rsidR="006A3012" w:rsidRDefault="006A3012" w:rsidP="006A3012">
      <w:pPr>
        <w:pStyle w:val="ListParagraph"/>
        <w:numPr>
          <w:ilvl w:val="0"/>
          <w:numId w:val="5"/>
        </w:numPr>
        <w:spacing w:after="0" w:line="480" w:lineRule="auto"/>
        <w:rPr>
          <w:rFonts w:ascii="Times New Roman" w:hAnsi="Times New Roman" w:cs="Times New Roman"/>
          <w:sz w:val="24"/>
          <w:szCs w:val="24"/>
        </w:rPr>
      </w:pPr>
      <w:r w:rsidRPr="006A3012">
        <w:rPr>
          <w:rFonts w:ascii="Times New Roman" w:hAnsi="Times New Roman" w:cs="Times New Roman"/>
          <w:sz w:val="24"/>
          <w:szCs w:val="24"/>
        </w:rPr>
        <w:t>Em</w:t>
      </w:r>
      <w:r>
        <w:rPr>
          <w:rFonts w:ascii="Times New Roman" w:hAnsi="Times New Roman" w:cs="Times New Roman"/>
          <w:sz w:val="24"/>
          <w:szCs w:val="24"/>
        </w:rPr>
        <w:t xml:space="preserve">ployees </w:t>
      </w:r>
      <w:r w:rsidR="000032C9">
        <w:rPr>
          <w:rFonts w:ascii="Times New Roman" w:hAnsi="Times New Roman" w:cs="Times New Roman"/>
          <w:sz w:val="24"/>
          <w:szCs w:val="24"/>
        </w:rPr>
        <w:t>immediately vest</w:t>
      </w:r>
      <w:r w:rsidR="00816EFC">
        <w:rPr>
          <w:rFonts w:ascii="Times New Roman" w:hAnsi="Times New Roman" w:cs="Times New Roman"/>
          <w:sz w:val="24"/>
          <w:szCs w:val="24"/>
        </w:rPr>
        <w:t>.</w:t>
      </w:r>
    </w:p>
    <w:p w14:paraId="36902EF7" w14:textId="7B42203F" w:rsidR="006A3012" w:rsidRDefault="006A3012" w:rsidP="006A3012">
      <w:pPr>
        <w:pStyle w:val="ListParagraph"/>
        <w:numPr>
          <w:ilvl w:val="0"/>
          <w:numId w:val="5"/>
        </w:numPr>
        <w:spacing w:after="0" w:line="480" w:lineRule="auto"/>
        <w:rPr>
          <w:rFonts w:ascii="Times New Roman" w:hAnsi="Times New Roman" w:cs="Times New Roman"/>
          <w:sz w:val="24"/>
          <w:szCs w:val="24"/>
        </w:rPr>
      </w:pPr>
      <w:r>
        <w:rPr>
          <w:rFonts w:ascii="Times New Roman" w:hAnsi="Times New Roman" w:cs="Times New Roman"/>
          <w:sz w:val="24"/>
          <w:szCs w:val="24"/>
        </w:rPr>
        <w:t>R</w:t>
      </w:r>
      <w:r w:rsidRPr="006A3012">
        <w:rPr>
          <w:rFonts w:ascii="Times New Roman" w:hAnsi="Times New Roman" w:cs="Times New Roman"/>
          <w:sz w:val="24"/>
          <w:szCs w:val="24"/>
        </w:rPr>
        <w:t xml:space="preserve">etirement benefits </w:t>
      </w:r>
      <w:r w:rsidR="00966E6A">
        <w:rPr>
          <w:rFonts w:ascii="Times New Roman" w:hAnsi="Times New Roman" w:cs="Times New Roman"/>
          <w:sz w:val="24"/>
          <w:szCs w:val="24"/>
        </w:rPr>
        <w:t>are</w:t>
      </w:r>
      <w:r w:rsidR="00816EFC">
        <w:rPr>
          <w:rFonts w:ascii="Times New Roman" w:hAnsi="Times New Roman" w:cs="Times New Roman"/>
          <w:sz w:val="24"/>
          <w:szCs w:val="24"/>
        </w:rPr>
        <w:t xml:space="preserve"> paid </w:t>
      </w:r>
      <w:r w:rsidR="00966E6A">
        <w:rPr>
          <w:rFonts w:ascii="Times New Roman" w:hAnsi="Times New Roman" w:cs="Times New Roman"/>
          <w:sz w:val="24"/>
          <w:szCs w:val="24"/>
        </w:rPr>
        <w:t>as</w:t>
      </w:r>
      <w:r w:rsidR="00816EFC">
        <w:rPr>
          <w:rFonts w:ascii="Times New Roman" w:hAnsi="Times New Roman" w:cs="Times New Roman"/>
          <w:sz w:val="24"/>
          <w:szCs w:val="24"/>
        </w:rPr>
        <w:t xml:space="preserve"> life annuit</w:t>
      </w:r>
      <w:r w:rsidR="00666387">
        <w:rPr>
          <w:rFonts w:ascii="Times New Roman" w:hAnsi="Times New Roman" w:cs="Times New Roman"/>
          <w:sz w:val="24"/>
          <w:szCs w:val="24"/>
        </w:rPr>
        <w:t>ies</w:t>
      </w:r>
      <w:r w:rsidR="008E625C">
        <w:rPr>
          <w:rFonts w:ascii="Times New Roman" w:hAnsi="Times New Roman" w:cs="Times New Roman"/>
          <w:sz w:val="24"/>
          <w:szCs w:val="24"/>
        </w:rPr>
        <w:t xml:space="preserve"> (i.e., retirees receive a fixed monthly retirement benefit payment </w:t>
      </w:r>
      <w:r w:rsidR="00122ED8">
        <w:rPr>
          <w:rFonts w:ascii="Times New Roman" w:hAnsi="Times New Roman" w:cs="Times New Roman"/>
          <w:sz w:val="24"/>
          <w:szCs w:val="24"/>
        </w:rPr>
        <w:t>that continue</w:t>
      </w:r>
      <w:r w:rsidR="00BB7165">
        <w:rPr>
          <w:rFonts w:ascii="Times New Roman" w:hAnsi="Times New Roman" w:cs="Times New Roman"/>
          <w:sz w:val="24"/>
          <w:szCs w:val="24"/>
        </w:rPr>
        <w:t>s</w:t>
      </w:r>
      <w:r w:rsidR="00122ED8">
        <w:rPr>
          <w:rFonts w:ascii="Times New Roman" w:hAnsi="Times New Roman" w:cs="Times New Roman"/>
          <w:sz w:val="24"/>
          <w:szCs w:val="24"/>
        </w:rPr>
        <w:t xml:space="preserve"> until their death</w:t>
      </w:r>
      <w:r w:rsidR="008E625C">
        <w:rPr>
          <w:rFonts w:ascii="Times New Roman" w:hAnsi="Times New Roman" w:cs="Times New Roman"/>
          <w:sz w:val="24"/>
          <w:szCs w:val="24"/>
        </w:rPr>
        <w:t>)</w:t>
      </w:r>
      <w:r w:rsidRPr="006A3012">
        <w:rPr>
          <w:rFonts w:ascii="Times New Roman" w:hAnsi="Times New Roman" w:cs="Times New Roman"/>
          <w:sz w:val="24"/>
          <w:szCs w:val="24"/>
        </w:rPr>
        <w:t xml:space="preserve">. </w:t>
      </w:r>
    </w:p>
    <w:p w14:paraId="3C7BA73B" w14:textId="6F7D8198" w:rsidR="006A3012" w:rsidRDefault="006A3012" w:rsidP="006A3012">
      <w:pPr>
        <w:pStyle w:val="ListParagraph"/>
        <w:numPr>
          <w:ilvl w:val="0"/>
          <w:numId w:val="5"/>
        </w:numPr>
        <w:spacing w:after="0" w:line="480" w:lineRule="auto"/>
        <w:rPr>
          <w:rFonts w:ascii="Times New Roman" w:hAnsi="Times New Roman" w:cs="Times New Roman"/>
          <w:sz w:val="24"/>
          <w:szCs w:val="24"/>
        </w:rPr>
      </w:pPr>
      <w:r w:rsidRPr="006A3012">
        <w:rPr>
          <w:rFonts w:ascii="Times New Roman" w:hAnsi="Times New Roman" w:cs="Times New Roman"/>
          <w:sz w:val="24"/>
          <w:szCs w:val="24"/>
        </w:rPr>
        <w:lastRenderedPageBreak/>
        <w:t xml:space="preserve">Only the core pension benefit </w:t>
      </w:r>
      <w:r w:rsidR="00966E6A">
        <w:rPr>
          <w:rFonts w:ascii="Times New Roman" w:hAnsi="Times New Roman" w:cs="Times New Roman"/>
          <w:sz w:val="24"/>
          <w:szCs w:val="24"/>
        </w:rPr>
        <w:t>is provided</w:t>
      </w:r>
      <w:r w:rsidRPr="006A3012">
        <w:rPr>
          <w:rFonts w:ascii="Times New Roman" w:hAnsi="Times New Roman" w:cs="Times New Roman"/>
          <w:sz w:val="24"/>
          <w:szCs w:val="24"/>
        </w:rPr>
        <w:t xml:space="preserve">. </w:t>
      </w:r>
      <w:r w:rsidR="00D466D2">
        <w:rPr>
          <w:rFonts w:ascii="Times New Roman" w:hAnsi="Times New Roman" w:cs="Times New Roman"/>
          <w:sz w:val="24"/>
          <w:szCs w:val="24"/>
        </w:rPr>
        <w:t>Other benefits are not included, such as</w:t>
      </w:r>
      <w:r w:rsidR="00666387">
        <w:rPr>
          <w:rFonts w:ascii="Times New Roman" w:hAnsi="Times New Roman" w:cs="Times New Roman"/>
          <w:sz w:val="24"/>
          <w:szCs w:val="24"/>
        </w:rPr>
        <w:t xml:space="preserve"> d</w:t>
      </w:r>
      <w:r w:rsidRPr="006A3012">
        <w:rPr>
          <w:rFonts w:ascii="Times New Roman" w:hAnsi="Times New Roman" w:cs="Times New Roman"/>
          <w:sz w:val="24"/>
          <w:szCs w:val="24"/>
        </w:rPr>
        <w:t>eath benefits, survivor benefits, disability benefits, and early retirement benefits</w:t>
      </w:r>
      <w:r>
        <w:rPr>
          <w:rFonts w:ascii="Times New Roman" w:hAnsi="Times New Roman" w:cs="Times New Roman"/>
          <w:sz w:val="24"/>
          <w:szCs w:val="24"/>
        </w:rPr>
        <w:t>.</w:t>
      </w:r>
    </w:p>
    <w:p w14:paraId="2E1C2007" w14:textId="08057347" w:rsidR="00666387" w:rsidRDefault="00666387" w:rsidP="006A3012">
      <w:pPr>
        <w:pStyle w:val="ListParagraph"/>
        <w:numPr>
          <w:ilvl w:val="0"/>
          <w:numId w:val="5"/>
        </w:numPr>
        <w:spacing w:after="0" w:line="480" w:lineRule="auto"/>
        <w:rPr>
          <w:rFonts w:ascii="Times New Roman" w:hAnsi="Times New Roman" w:cs="Times New Roman"/>
          <w:sz w:val="24"/>
          <w:szCs w:val="24"/>
        </w:rPr>
      </w:pPr>
      <w:r>
        <w:rPr>
          <w:rFonts w:ascii="Times New Roman" w:hAnsi="Times New Roman" w:cs="Times New Roman"/>
          <w:sz w:val="24"/>
          <w:szCs w:val="24"/>
        </w:rPr>
        <w:t>The cost method is Entry Age Normal.</w:t>
      </w:r>
    </w:p>
    <w:p w14:paraId="6A3CA68B" w14:textId="4CAD621B" w:rsidR="00A4097D" w:rsidRDefault="000032C9" w:rsidP="00A4097D">
      <w:pPr>
        <w:pStyle w:val="ListParagraph"/>
        <w:numPr>
          <w:ilvl w:val="0"/>
          <w:numId w:val="5"/>
        </w:numPr>
        <w:spacing w:after="0" w:line="480" w:lineRule="auto"/>
        <w:rPr>
          <w:rFonts w:ascii="Times New Roman" w:hAnsi="Times New Roman" w:cs="Times New Roman"/>
          <w:sz w:val="24"/>
          <w:szCs w:val="24"/>
        </w:rPr>
      </w:pPr>
      <w:r>
        <w:rPr>
          <w:rFonts w:ascii="Times New Roman" w:hAnsi="Times New Roman" w:cs="Times New Roman"/>
          <w:sz w:val="24"/>
          <w:szCs w:val="24"/>
        </w:rPr>
        <w:t>There is</w:t>
      </w:r>
      <w:r w:rsidR="00A4097D">
        <w:rPr>
          <w:rFonts w:ascii="Times New Roman" w:hAnsi="Times New Roman" w:cs="Times New Roman"/>
          <w:sz w:val="24"/>
          <w:szCs w:val="24"/>
        </w:rPr>
        <w:t xml:space="preserve"> a uniform age distribution </w:t>
      </w:r>
      <w:r w:rsidR="00D466D2">
        <w:rPr>
          <w:rFonts w:ascii="Times New Roman" w:hAnsi="Times New Roman" w:cs="Times New Roman"/>
          <w:sz w:val="24"/>
          <w:szCs w:val="24"/>
        </w:rPr>
        <w:t>among the</w:t>
      </w:r>
      <w:r w:rsidR="00A4097D">
        <w:rPr>
          <w:rFonts w:ascii="Times New Roman" w:hAnsi="Times New Roman" w:cs="Times New Roman"/>
          <w:sz w:val="24"/>
          <w:szCs w:val="24"/>
        </w:rPr>
        <w:t xml:space="preserve"> current employees </w:t>
      </w:r>
      <w:r>
        <w:rPr>
          <w:rFonts w:ascii="Times New Roman" w:hAnsi="Times New Roman" w:cs="Times New Roman"/>
          <w:sz w:val="24"/>
          <w:szCs w:val="24"/>
        </w:rPr>
        <w:t xml:space="preserve">(between 30 and 65) </w:t>
      </w:r>
      <w:r w:rsidR="00A4097D">
        <w:rPr>
          <w:rFonts w:ascii="Times New Roman" w:hAnsi="Times New Roman" w:cs="Times New Roman"/>
          <w:sz w:val="24"/>
          <w:szCs w:val="24"/>
        </w:rPr>
        <w:t xml:space="preserve">and a uniform age distribution among </w:t>
      </w:r>
      <w:r>
        <w:rPr>
          <w:rFonts w:ascii="Times New Roman" w:hAnsi="Times New Roman" w:cs="Times New Roman"/>
          <w:sz w:val="24"/>
          <w:szCs w:val="24"/>
        </w:rPr>
        <w:t xml:space="preserve">the </w:t>
      </w:r>
      <w:r w:rsidR="00A4097D">
        <w:rPr>
          <w:rFonts w:ascii="Times New Roman" w:hAnsi="Times New Roman" w:cs="Times New Roman"/>
          <w:sz w:val="24"/>
          <w:szCs w:val="24"/>
        </w:rPr>
        <w:t xml:space="preserve">retirees. </w:t>
      </w:r>
    </w:p>
    <w:p w14:paraId="1BAB8BA6" w14:textId="1E2ACD8B" w:rsidR="00683492" w:rsidRPr="00A4097D" w:rsidRDefault="000032C9" w:rsidP="00A4097D">
      <w:pPr>
        <w:pStyle w:val="ListParagraph"/>
        <w:numPr>
          <w:ilvl w:val="0"/>
          <w:numId w:val="5"/>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Asset holdings are sufficient to </w:t>
      </w:r>
      <w:r w:rsidR="00683492">
        <w:rPr>
          <w:rFonts w:ascii="Times New Roman" w:hAnsi="Times New Roman" w:cs="Times New Roman"/>
          <w:sz w:val="24"/>
          <w:szCs w:val="24"/>
        </w:rPr>
        <w:t xml:space="preserve">cover 85.4 percent of </w:t>
      </w:r>
      <w:r w:rsidR="00D466D2">
        <w:rPr>
          <w:rFonts w:ascii="Times New Roman" w:hAnsi="Times New Roman" w:cs="Times New Roman"/>
          <w:sz w:val="24"/>
          <w:szCs w:val="24"/>
        </w:rPr>
        <w:t>the liability (</w:t>
      </w:r>
      <w:r w:rsidR="00683492">
        <w:rPr>
          <w:rFonts w:ascii="Times New Roman" w:hAnsi="Times New Roman" w:cs="Times New Roman"/>
          <w:sz w:val="24"/>
          <w:szCs w:val="24"/>
        </w:rPr>
        <w:t>the median observed funding ratio</w:t>
      </w:r>
      <w:r w:rsidR="00D466D2">
        <w:rPr>
          <w:rFonts w:ascii="Times New Roman" w:hAnsi="Times New Roman" w:cs="Times New Roman"/>
          <w:sz w:val="24"/>
          <w:szCs w:val="24"/>
        </w:rPr>
        <w:t>)</w:t>
      </w:r>
      <w:r w:rsidR="00683492">
        <w:rPr>
          <w:rFonts w:ascii="Times New Roman" w:hAnsi="Times New Roman" w:cs="Times New Roman"/>
          <w:sz w:val="24"/>
          <w:szCs w:val="24"/>
        </w:rPr>
        <w:t>.</w:t>
      </w:r>
    </w:p>
    <w:p w14:paraId="41910DA9" w14:textId="32C09574" w:rsidR="00683492" w:rsidRDefault="00683492" w:rsidP="00A4097D">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We follow </w:t>
      </w:r>
      <w:proofErr w:type="spellStart"/>
      <w:r>
        <w:rPr>
          <w:rFonts w:ascii="Times New Roman" w:hAnsi="Times New Roman" w:cs="Times New Roman"/>
          <w:sz w:val="24"/>
          <w:szCs w:val="24"/>
        </w:rPr>
        <w:t>Winklevoss’s</w:t>
      </w:r>
      <w:proofErr w:type="spellEnd"/>
      <w:r>
        <w:rPr>
          <w:rFonts w:ascii="Times New Roman" w:hAnsi="Times New Roman" w:cs="Times New Roman"/>
          <w:sz w:val="24"/>
          <w:szCs w:val="24"/>
        </w:rPr>
        <w:t xml:space="preserve"> (1993) method to calculate normal costs, UAAL costs, </w:t>
      </w:r>
      <w:r w:rsidR="000032C9">
        <w:rPr>
          <w:rFonts w:ascii="Times New Roman" w:hAnsi="Times New Roman" w:cs="Times New Roman"/>
          <w:sz w:val="24"/>
          <w:szCs w:val="24"/>
        </w:rPr>
        <w:t xml:space="preserve">and </w:t>
      </w:r>
      <w:r>
        <w:rPr>
          <w:rFonts w:ascii="Times New Roman" w:hAnsi="Times New Roman" w:cs="Times New Roman"/>
          <w:sz w:val="24"/>
          <w:szCs w:val="24"/>
        </w:rPr>
        <w:t>AAL</w:t>
      </w:r>
      <w:r w:rsidR="000032C9">
        <w:rPr>
          <w:rFonts w:ascii="Times New Roman" w:hAnsi="Times New Roman" w:cs="Times New Roman"/>
          <w:sz w:val="24"/>
          <w:szCs w:val="24"/>
        </w:rPr>
        <w:t>s</w:t>
      </w:r>
      <w:r w:rsidR="00FD6B93">
        <w:rPr>
          <w:rFonts w:ascii="Times New Roman" w:hAnsi="Times New Roman" w:cs="Times New Roman"/>
          <w:sz w:val="24"/>
          <w:szCs w:val="24"/>
        </w:rPr>
        <w:t xml:space="preserve"> (see a</w:t>
      </w:r>
      <w:r w:rsidR="00BB7A2E">
        <w:rPr>
          <w:rFonts w:ascii="Times New Roman" w:hAnsi="Times New Roman" w:cs="Times New Roman"/>
          <w:sz w:val="24"/>
          <w:szCs w:val="24"/>
        </w:rPr>
        <w:t>ppendix) and</w:t>
      </w:r>
      <w:r w:rsidR="000032C9">
        <w:rPr>
          <w:rFonts w:ascii="Times New Roman" w:hAnsi="Times New Roman" w:cs="Times New Roman"/>
          <w:sz w:val="24"/>
          <w:szCs w:val="24"/>
        </w:rPr>
        <w:t xml:space="preserve"> perform our calculations in Microsoft Excel</w:t>
      </w:r>
      <w:r w:rsidR="00B332C8">
        <w:rPr>
          <w:rFonts w:ascii="Times New Roman" w:hAnsi="Times New Roman" w:cs="Times New Roman"/>
          <w:sz w:val="24"/>
          <w:szCs w:val="24"/>
        </w:rPr>
        <w:t xml:space="preserve"> with </w:t>
      </w:r>
      <w:r w:rsidR="000032C9">
        <w:rPr>
          <w:rFonts w:ascii="Times New Roman" w:hAnsi="Times New Roman" w:cs="Times New Roman"/>
          <w:sz w:val="24"/>
          <w:szCs w:val="24"/>
        </w:rPr>
        <w:t xml:space="preserve">Visual Basic coding. We use those calculations to identify the funding ratio (assets/liabilities </w:t>
      </w:r>
      <w:r w:rsidR="00666387">
        <w:rPr>
          <w:rFonts w:ascii="Times New Roman" w:hAnsi="Times New Roman" w:cs="Times New Roman"/>
          <w:sz w:val="24"/>
          <w:szCs w:val="24"/>
        </w:rPr>
        <w:t>×</w:t>
      </w:r>
      <w:r w:rsidR="000032C9">
        <w:rPr>
          <w:rFonts w:ascii="Times New Roman" w:hAnsi="Times New Roman" w:cs="Times New Roman"/>
          <w:sz w:val="24"/>
          <w:szCs w:val="24"/>
        </w:rPr>
        <w:t xml:space="preserve"> 100%) and contribution rates </w:t>
      </w:r>
      <w:r w:rsidR="00EB0BD2">
        <w:rPr>
          <w:rFonts w:ascii="Times New Roman" w:hAnsi="Times New Roman" w:cs="Times New Roman"/>
          <w:sz w:val="24"/>
          <w:szCs w:val="24"/>
        </w:rPr>
        <w:t>(</w:t>
      </w:r>
      <w:r w:rsidR="000032C9">
        <w:rPr>
          <w:rFonts w:ascii="Times New Roman" w:hAnsi="Times New Roman" w:cs="Times New Roman"/>
          <w:sz w:val="24"/>
          <w:szCs w:val="24"/>
        </w:rPr>
        <w:t>(normal costs + UAAL costs)/payroll)</w:t>
      </w:r>
      <w:r w:rsidR="00BB7A2E">
        <w:rPr>
          <w:rFonts w:ascii="Times New Roman" w:hAnsi="Times New Roman" w:cs="Times New Roman"/>
          <w:sz w:val="24"/>
          <w:szCs w:val="24"/>
        </w:rPr>
        <w:t xml:space="preserve"> for the median plan</w:t>
      </w:r>
      <w:r w:rsidR="000032C9">
        <w:rPr>
          <w:rFonts w:ascii="Times New Roman" w:hAnsi="Times New Roman" w:cs="Times New Roman"/>
          <w:sz w:val="24"/>
          <w:szCs w:val="24"/>
        </w:rPr>
        <w:t xml:space="preserve">. </w:t>
      </w:r>
      <w:r w:rsidR="00BB7A2E">
        <w:rPr>
          <w:rFonts w:ascii="Times New Roman" w:hAnsi="Times New Roman" w:cs="Times New Roman"/>
          <w:sz w:val="24"/>
          <w:szCs w:val="24"/>
        </w:rPr>
        <w:t>(</w:t>
      </w:r>
      <w:r w:rsidR="000032C9">
        <w:rPr>
          <w:rFonts w:ascii="Times New Roman" w:hAnsi="Times New Roman" w:cs="Times New Roman"/>
          <w:sz w:val="24"/>
          <w:szCs w:val="24"/>
        </w:rPr>
        <w:t>The rest of the paper uses the term ARC to refer to the contribution rate calculation.</w:t>
      </w:r>
      <w:r w:rsidR="00BB7A2E">
        <w:rPr>
          <w:rFonts w:ascii="Times New Roman" w:hAnsi="Times New Roman" w:cs="Times New Roman"/>
          <w:sz w:val="24"/>
          <w:szCs w:val="24"/>
        </w:rPr>
        <w:t xml:space="preserve">) </w:t>
      </w:r>
      <w:r w:rsidR="000032C9">
        <w:rPr>
          <w:rFonts w:ascii="Times New Roman" w:hAnsi="Times New Roman" w:cs="Times New Roman"/>
          <w:sz w:val="24"/>
          <w:szCs w:val="24"/>
        </w:rPr>
        <w:t>We</w:t>
      </w:r>
      <w:r>
        <w:rPr>
          <w:rFonts w:ascii="Times New Roman" w:hAnsi="Times New Roman" w:cs="Times New Roman"/>
          <w:sz w:val="24"/>
          <w:szCs w:val="24"/>
        </w:rPr>
        <w:t xml:space="preserve"> </w:t>
      </w:r>
      <w:r w:rsidR="00BB7A2E">
        <w:rPr>
          <w:rFonts w:ascii="Times New Roman" w:hAnsi="Times New Roman" w:cs="Times New Roman"/>
          <w:sz w:val="24"/>
          <w:szCs w:val="24"/>
        </w:rPr>
        <w:t xml:space="preserve">then </w:t>
      </w:r>
      <w:r>
        <w:rPr>
          <w:rFonts w:ascii="Times New Roman" w:hAnsi="Times New Roman" w:cs="Times New Roman"/>
          <w:sz w:val="24"/>
          <w:szCs w:val="24"/>
        </w:rPr>
        <w:t>calculat</w:t>
      </w:r>
      <w:r w:rsidR="00BB7A2E">
        <w:rPr>
          <w:rFonts w:ascii="Times New Roman" w:hAnsi="Times New Roman" w:cs="Times New Roman"/>
          <w:sz w:val="24"/>
          <w:szCs w:val="24"/>
        </w:rPr>
        <w:t>e</w:t>
      </w:r>
      <w:r>
        <w:rPr>
          <w:rFonts w:ascii="Times New Roman" w:hAnsi="Times New Roman" w:cs="Times New Roman"/>
          <w:sz w:val="24"/>
          <w:szCs w:val="24"/>
        </w:rPr>
        <w:t xml:space="preserve"> </w:t>
      </w:r>
      <w:r w:rsidR="000032C9">
        <w:rPr>
          <w:rFonts w:ascii="Times New Roman" w:hAnsi="Times New Roman" w:cs="Times New Roman"/>
          <w:sz w:val="24"/>
          <w:szCs w:val="24"/>
        </w:rPr>
        <w:t xml:space="preserve">the funding ratio and ARC </w:t>
      </w:r>
      <w:r>
        <w:rPr>
          <w:rFonts w:ascii="Times New Roman" w:hAnsi="Times New Roman" w:cs="Times New Roman"/>
          <w:sz w:val="24"/>
          <w:szCs w:val="24"/>
        </w:rPr>
        <w:t xml:space="preserve">as actuarial inputs </w:t>
      </w:r>
      <w:r w:rsidR="000032C9">
        <w:rPr>
          <w:rFonts w:ascii="Times New Roman" w:hAnsi="Times New Roman" w:cs="Times New Roman"/>
          <w:sz w:val="24"/>
          <w:szCs w:val="24"/>
        </w:rPr>
        <w:t>change</w:t>
      </w:r>
      <w:r>
        <w:rPr>
          <w:rFonts w:ascii="Times New Roman" w:hAnsi="Times New Roman" w:cs="Times New Roman"/>
          <w:sz w:val="24"/>
          <w:szCs w:val="24"/>
        </w:rPr>
        <w:t xml:space="preserve"> away from the </w:t>
      </w:r>
      <w:r w:rsidR="000032C9">
        <w:rPr>
          <w:rFonts w:ascii="Times New Roman" w:hAnsi="Times New Roman" w:cs="Times New Roman"/>
          <w:sz w:val="24"/>
          <w:szCs w:val="24"/>
        </w:rPr>
        <w:t>median</w:t>
      </w:r>
      <w:r>
        <w:rPr>
          <w:rFonts w:ascii="Times New Roman" w:hAnsi="Times New Roman" w:cs="Times New Roman"/>
          <w:sz w:val="24"/>
          <w:szCs w:val="24"/>
        </w:rPr>
        <w:t xml:space="preserve"> condition. We do not </w:t>
      </w:r>
      <w:r w:rsidR="00666387">
        <w:rPr>
          <w:rFonts w:ascii="Times New Roman" w:hAnsi="Times New Roman" w:cs="Times New Roman"/>
          <w:sz w:val="24"/>
          <w:szCs w:val="24"/>
        </w:rPr>
        <w:t>focus</w:t>
      </w:r>
      <w:r>
        <w:rPr>
          <w:rFonts w:ascii="Times New Roman" w:hAnsi="Times New Roman" w:cs="Times New Roman"/>
          <w:sz w:val="24"/>
          <w:szCs w:val="24"/>
        </w:rPr>
        <w:t xml:space="preserve"> on the interaction of changing multiple actuarial inputs at the same time.</w:t>
      </w:r>
    </w:p>
    <w:p w14:paraId="68C56226" w14:textId="21325BB5" w:rsidR="00B208C4" w:rsidRDefault="00B208C4" w:rsidP="00B208C4">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Table 3 compares the results of the median plan with the conditions that are observed in the actual plans </w:t>
      </w:r>
      <w:r w:rsidR="00BB7A2E">
        <w:rPr>
          <w:rFonts w:ascii="Times New Roman" w:hAnsi="Times New Roman" w:cs="Times New Roman"/>
          <w:sz w:val="24"/>
          <w:szCs w:val="24"/>
        </w:rPr>
        <w:t>with</w:t>
      </w:r>
      <w:r>
        <w:rPr>
          <w:rFonts w:ascii="Times New Roman" w:hAnsi="Times New Roman" w:cs="Times New Roman"/>
          <w:sz w:val="24"/>
          <w:szCs w:val="24"/>
        </w:rPr>
        <w:t xml:space="preserve">in the PPD. </w:t>
      </w:r>
    </w:p>
    <w:p w14:paraId="77533ED1" w14:textId="77777777" w:rsidR="00B208C4" w:rsidRDefault="00B208C4" w:rsidP="00B208C4">
      <w:pPr>
        <w:spacing w:after="0" w:line="480" w:lineRule="auto"/>
        <w:contextualSpacing/>
        <w:jc w:val="center"/>
        <w:rPr>
          <w:rFonts w:ascii="Times New Roman" w:hAnsi="Times New Roman" w:cs="Times New Roman"/>
          <w:sz w:val="24"/>
          <w:szCs w:val="24"/>
        </w:rPr>
      </w:pPr>
      <w:r>
        <w:rPr>
          <w:rFonts w:ascii="Times New Roman" w:hAnsi="Times New Roman" w:cs="Times New Roman"/>
          <w:sz w:val="24"/>
          <w:szCs w:val="24"/>
        </w:rPr>
        <w:t>&lt;Table 3&gt;</w:t>
      </w:r>
    </w:p>
    <w:p w14:paraId="431DD190" w14:textId="0C190B81" w:rsidR="00B208C4" w:rsidRDefault="00B208C4" w:rsidP="00B208C4">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0C2B3F">
        <w:rPr>
          <w:rFonts w:ascii="Times New Roman" w:hAnsi="Times New Roman" w:cs="Times New Roman"/>
          <w:sz w:val="24"/>
          <w:szCs w:val="24"/>
        </w:rPr>
        <w:t>The</w:t>
      </w:r>
      <w:r>
        <w:rPr>
          <w:rFonts w:ascii="Times New Roman" w:hAnsi="Times New Roman" w:cs="Times New Roman"/>
          <w:sz w:val="24"/>
          <w:szCs w:val="24"/>
        </w:rPr>
        <w:t xml:space="preserve"> simulation results </w:t>
      </w:r>
      <w:r w:rsidR="00BB7A2E">
        <w:rPr>
          <w:rFonts w:ascii="Times New Roman" w:hAnsi="Times New Roman" w:cs="Times New Roman"/>
          <w:sz w:val="24"/>
          <w:szCs w:val="24"/>
        </w:rPr>
        <w:t>closely</w:t>
      </w:r>
      <w:r>
        <w:rPr>
          <w:rFonts w:ascii="Times New Roman" w:hAnsi="Times New Roman" w:cs="Times New Roman"/>
          <w:sz w:val="24"/>
          <w:szCs w:val="24"/>
        </w:rPr>
        <w:t xml:space="preserve"> match actual observations with some minor deviations. The simulated normal cost is slightly under-estimated. This is expected since we </w:t>
      </w:r>
      <w:r w:rsidR="00B332C8">
        <w:rPr>
          <w:rFonts w:ascii="Times New Roman" w:hAnsi="Times New Roman" w:cs="Times New Roman"/>
          <w:sz w:val="24"/>
          <w:szCs w:val="24"/>
        </w:rPr>
        <w:t xml:space="preserve">only consider core </w:t>
      </w:r>
      <w:r>
        <w:rPr>
          <w:rFonts w:ascii="Times New Roman" w:hAnsi="Times New Roman" w:cs="Times New Roman"/>
          <w:sz w:val="24"/>
          <w:szCs w:val="24"/>
        </w:rPr>
        <w:t>pension benefits</w:t>
      </w:r>
      <w:r w:rsidR="00B332C8">
        <w:rPr>
          <w:rFonts w:ascii="Times New Roman" w:hAnsi="Times New Roman" w:cs="Times New Roman"/>
          <w:sz w:val="24"/>
          <w:szCs w:val="24"/>
        </w:rPr>
        <w:t xml:space="preserve"> (e.g., no retirement incentives or disability benefits)</w:t>
      </w:r>
      <w:r>
        <w:rPr>
          <w:rFonts w:ascii="Times New Roman" w:hAnsi="Times New Roman" w:cs="Times New Roman"/>
          <w:sz w:val="24"/>
          <w:szCs w:val="24"/>
        </w:rPr>
        <w:t xml:space="preserve">. </w:t>
      </w:r>
      <w:r w:rsidR="000C2B3F">
        <w:rPr>
          <w:rFonts w:ascii="Times New Roman" w:hAnsi="Times New Roman" w:cs="Times New Roman"/>
          <w:sz w:val="24"/>
          <w:szCs w:val="24"/>
        </w:rPr>
        <w:t>T</w:t>
      </w:r>
      <w:r>
        <w:rPr>
          <w:rFonts w:ascii="Times New Roman" w:hAnsi="Times New Roman" w:cs="Times New Roman"/>
          <w:sz w:val="24"/>
          <w:szCs w:val="24"/>
        </w:rPr>
        <w:t xml:space="preserve">he simulated ARC and AAL both fall between the mean and median values of the observed data. </w:t>
      </w:r>
      <w:r w:rsidR="000C2B3F">
        <w:rPr>
          <w:rFonts w:ascii="Times New Roman" w:hAnsi="Times New Roman" w:cs="Times New Roman"/>
          <w:sz w:val="24"/>
          <w:szCs w:val="24"/>
        </w:rPr>
        <w:t>The results of this comparison provide reasonable confidence that our simulation is externally valid.</w:t>
      </w:r>
    </w:p>
    <w:p w14:paraId="02675A0E" w14:textId="534D6280" w:rsidR="00A4097D" w:rsidRDefault="00A4097D" w:rsidP="00A4097D">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We then create two additional plans </w:t>
      </w:r>
      <w:r w:rsidR="00B208C4">
        <w:rPr>
          <w:rFonts w:ascii="Times New Roman" w:hAnsi="Times New Roman" w:cs="Times New Roman"/>
          <w:sz w:val="24"/>
          <w:szCs w:val="24"/>
        </w:rPr>
        <w:t>whose active employees</w:t>
      </w:r>
      <w:r>
        <w:rPr>
          <w:rFonts w:ascii="Times New Roman" w:hAnsi="Times New Roman" w:cs="Times New Roman"/>
          <w:sz w:val="24"/>
          <w:szCs w:val="24"/>
        </w:rPr>
        <w:t xml:space="preserve"> do not have a uniform age distribution</w:t>
      </w:r>
      <w:r w:rsidR="00BB7A2E">
        <w:rPr>
          <w:rFonts w:ascii="Times New Roman" w:hAnsi="Times New Roman" w:cs="Times New Roman"/>
          <w:sz w:val="24"/>
          <w:szCs w:val="24"/>
        </w:rPr>
        <w:t xml:space="preserve"> and reset all the actuarial inputs to their median conditions. One of the additional plans </w:t>
      </w:r>
      <w:r>
        <w:rPr>
          <w:rFonts w:ascii="Times New Roman" w:hAnsi="Times New Roman" w:cs="Times New Roman"/>
          <w:sz w:val="24"/>
          <w:szCs w:val="24"/>
        </w:rPr>
        <w:t>is</w:t>
      </w:r>
      <w:r w:rsidRPr="00A4097D">
        <w:rPr>
          <w:rFonts w:ascii="Times New Roman" w:hAnsi="Times New Roman" w:cs="Times New Roman"/>
          <w:sz w:val="24"/>
          <w:szCs w:val="24"/>
        </w:rPr>
        <w:t xml:space="preserve"> a “young” plan</w:t>
      </w:r>
      <w:r w:rsidR="00565CBB">
        <w:rPr>
          <w:rFonts w:ascii="Times New Roman" w:hAnsi="Times New Roman" w:cs="Times New Roman"/>
          <w:sz w:val="24"/>
          <w:szCs w:val="24"/>
        </w:rPr>
        <w:t xml:space="preserve">. The </w:t>
      </w:r>
      <w:r w:rsidRPr="00A4097D">
        <w:rPr>
          <w:rFonts w:ascii="Times New Roman" w:hAnsi="Times New Roman" w:cs="Times New Roman"/>
          <w:sz w:val="24"/>
          <w:szCs w:val="24"/>
        </w:rPr>
        <w:t>age distribution</w:t>
      </w:r>
      <w:r w:rsidR="00565CBB">
        <w:rPr>
          <w:rFonts w:ascii="Times New Roman" w:hAnsi="Times New Roman" w:cs="Times New Roman"/>
          <w:sz w:val="24"/>
          <w:szCs w:val="24"/>
        </w:rPr>
        <w:t xml:space="preserve"> of its active employees is </w:t>
      </w:r>
      <w:r w:rsidRPr="00A4097D">
        <w:rPr>
          <w:rFonts w:ascii="Times New Roman" w:hAnsi="Times New Roman" w:cs="Times New Roman"/>
          <w:sz w:val="24"/>
          <w:szCs w:val="24"/>
        </w:rPr>
        <w:t>skewed to the right</w:t>
      </w:r>
      <w:r w:rsidR="005A1FE1">
        <w:rPr>
          <w:rFonts w:ascii="Times New Roman" w:hAnsi="Times New Roman" w:cs="Times New Roman"/>
          <w:sz w:val="24"/>
          <w:szCs w:val="24"/>
        </w:rPr>
        <w:t xml:space="preserve"> (</w:t>
      </w:r>
      <w:proofErr w:type="spellStart"/>
      <w:r w:rsidR="005A1FE1">
        <w:rPr>
          <w:rFonts w:ascii="Times New Roman" w:hAnsi="Times New Roman" w:cs="Times New Roman"/>
          <w:sz w:val="24"/>
          <w:szCs w:val="24"/>
        </w:rPr>
        <w:t>skewness</w:t>
      </w:r>
      <w:proofErr w:type="spellEnd"/>
      <w:r w:rsidR="005A1FE1">
        <w:rPr>
          <w:rFonts w:ascii="Times New Roman" w:hAnsi="Times New Roman" w:cs="Times New Roman"/>
          <w:sz w:val="24"/>
          <w:szCs w:val="24"/>
        </w:rPr>
        <w:t xml:space="preserve"> is approximately</w:t>
      </w:r>
      <w:r w:rsidR="008969A3">
        <w:rPr>
          <w:rFonts w:ascii="Times New Roman" w:hAnsi="Times New Roman" w:cs="Times New Roman"/>
          <w:sz w:val="24"/>
          <w:szCs w:val="24"/>
        </w:rPr>
        <w:t xml:space="preserve"> .7)</w:t>
      </w:r>
      <w:r>
        <w:rPr>
          <w:rFonts w:ascii="Times New Roman" w:hAnsi="Times New Roman" w:cs="Times New Roman"/>
          <w:sz w:val="24"/>
          <w:szCs w:val="24"/>
        </w:rPr>
        <w:t xml:space="preserve">. The other is </w:t>
      </w:r>
      <w:r w:rsidRPr="00A4097D">
        <w:rPr>
          <w:rFonts w:ascii="Times New Roman" w:hAnsi="Times New Roman" w:cs="Times New Roman"/>
          <w:sz w:val="24"/>
          <w:szCs w:val="24"/>
        </w:rPr>
        <w:t>an “old” plan</w:t>
      </w:r>
      <w:r w:rsidR="00565CBB">
        <w:rPr>
          <w:rFonts w:ascii="Times New Roman" w:hAnsi="Times New Roman" w:cs="Times New Roman"/>
          <w:sz w:val="24"/>
          <w:szCs w:val="24"/>
        </w:rPr>
        <w:t xml:space="preserve">. The age distribution is </w:t>
      </w:r>
      <w:r w:rsidR="008969A3">
        <w:rPr>
          <w:rFonts w:ascii="Times New Roman" w:hAnsi="Times New Roman" w:cs="Times New Roman"/>
          <w:sz w:val="24"/>
          <w:szCs w:val="24"/>
        </w:rPr>
        <w:t>skewed to the left (</w:t>
      </w:r>
      <w:proofErr w:type="spellStart"/>
      <w:r w:rsidR="008969A3">
        <w:rPr>
          <w:rFonts w:ascii="Times New Roman" w:hAnsi="Times New Roman" w:cs="Times New Roman"/>
          <w:sz w:val="24"/>
          <w:szCs w:val="24"/>
        </w:rPr>
        <w:t>skewness</w:t>
      </w:r>
      <w:proofErr w:type="spellEnd"/>
      <w:r w:rsidR="008969A3">
        <w:rPr>
          <w:rFonts w:ascii="Times New Roman" w:hAnsi="Times New Roman" w:cs="Times New Roman"/>
          <w:sz w:val="24"/>
          <w:szCs w:val="24"/>
        </w:rPr>
        <w:t xml:space="preserve"> </w:t>
      </w:r>
      <w:r w:rsidR="005A1FE1">
        <w:rPr>
          <w:rFonts w:ascii="Times New Roman" w:hAnsi="Times New Roman" w:cs="Times New Roman"/>
          <w:sz w:val="24"/>
          <w:szCs w:val="24"/>
        </w:rPr>
        <w:t>is approximately</w:t>
      </w:r>
      <w:r w:rsidR="008969A3">
        <w:rPr>
          <w:rFonts w:ascii="Times New Roman" w:hAnsi="Times New Roman" w:cs="Times New Roman"/>
          <w:sz w:val="24"/>
          <w:szCs w:val="24"/>
        </w:rPr>
        <w:t xml:space="preserve"> -.7).</w:t>
      </w:r>
      <w:r w:rsidR="00B208C4">
        <w:rPr>
          <w:rFonts w:ascii="Times New Roman" w:hAnsi="Times New Roman" w:cs="Times New Roman"/>
          <w:sz w:val="24"/>
          <w:szCs w:val="24"/>
        </w:rPr>
        <w:t xml:space="preserve"> We then calculate the effects of marginal changes in actuarial inputs on the funding ratios and ARCs of the "young" and "old" plans.</w:t>
      </w:r>
    </w:p>
    <w:p w14:paraId="36C882DC" w14:textId="49A35562" w:rsidR="00A4097D" w:rsidRDefault="008969A3" w:rsidP="002629C2">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BB7A2E">
        <w:rPr>
          <w:rFonts w:ascii="Times New Roman" w:hAnsi="Times New Roman" w:cs="Times New Roman"/>
          <w:sz w:val="24"/>
          <w:szCs w:val="24"/>
        </w:rPr>
        <w:t>T</w:t>
      </w:r>
      <w:r>
        <w:rPr>
          <w:rFonts w:ascii="Times New Roman" w:hAnsi="Times New Roman" w:cs="Times New Roman"/>
          <w:sz w:val="24"/>
          <w:szCs w:val="24"/>
        </w:rPr>
        <w:t>hen</w:t>
      </w:r>
      <w:r w:rsidR="00BB7A2E">
        <w:rPr>
          <w:rFonts w:ascii="Times New Roman" w:hAnsi="Times New Roman" w:cs="Times New Roman"/>
          <w:sz w:val="24"/>
          <w:szCs w:val="24"/>
        </w:rPr>
        <w:t>, we</w:t>
      </w:r>
      <w:r>
        <w:rPr>
          <w:rFonts w:ascii="Times New Roman" w:hAnsi="Times New Roman" w:cs="Times New Roman"/>
          <w:sz w:val="24"/>
          <w:szCs w:val="24"/>
        </w:rPr>
        <w:t xml:space="preserve"> simulate </w:t>
      </w:r>
      <w:r w:rsidR="00683492">
        <w:rPr>
          <w:rFonts w:ascii="Times New Roman" w:hAnsi="Times New Roman" w:cs="Times New Roman"/>
          <w:sz w:val="24"/>
          <w:szCs w:val="24"/>
        </w:rPr>
        <w:t xml:space="preserve">the </w:t>
      </w:r>
      <w:r w:rsidR="000C2B3F">
        <w:rPr>
          <w:rFonts w:ascii="Times New Roman" w:hAnsi="Times New Roman" w:cs="Times New Roman"/>
          <w:sz w:val="24"/>
          <w:szCs w:val="24"/>
        </w:rPr>
        <w:t>median</w:t>
      </w:r>
      <w:r w:rsidR="00683492">
        <w:rPr>
          <w:rFonts w:ascii="Times New Roman" w:hAnsi="Times New Roman" w:cs="Times New Roman"/>
          <w:sz w:val="24"/>
          <w:szCs w:val="24"/>
        </w:rPr>
        <w:t xml:space="preserve"> plan</w:t>
      </w:r>
      <w:r w:rsidR="000C2B3F">
        <w:rPr>
          <w:rFonts w:ascii="Times New Roman" w:hAnsi="Times New Roman" w:cs="Times New Roman"/>
          <w:sz w:val="24"/>
          <w:szCs w:val="24"/>
        </w:rPr>
        <w:t xml:space="preserve"> (with a uniform age distribution)</w:t>
      </w:r>
      <w:r w:rsidR="00683492">
        <w:rPr>
          <w:rFonts w:ascii="Times New Roman" w:hAnsi="Times New Roman" w:cs="Times New Roman"/>
          <w:sz w:val="24"/>
          <w:szCs w:val="24"/>
        </w:rPr>
        <w:t xml:space="preserve"> </w:t>
      </w:r>
      <w:r w:rsidR="00A4097D">
        <w:rPr>
          <w:rFonts w:ascii="Times New Roman" w:hAnsi="Times New Roman" w:cs="Times New Roman"/>
          <w:sz w:val="24"/>
          <w:szCs w:val="24"/>
        </w:rPr>
        <w:t xml:space="preserve">under </w:t>
      </w:r>
      <w:r w:rsidR="00683492">
        <w:rPr>
          <w:rFonts w:ascii="Times New Roman" w:hAnsi="Times New Roman" w:cs="Times New Roman"/>
          <w:sz w:val="24"/>
          <w:szCs w:val="24"/>
        </w:rPr>
        <w:t>two additional</w:t>
      </w:r>
      <w:r w:rsidR="005A1FE1">
        <w:rPr>
          <w:rFonts w:ascii="Times New Roman" w:hAnsi="Times New Roman" w:cs="Times New Roman"/>
          <w:sz w:val="24"/>
          <w:szCs w:val="24"/>
        </w:rPr>
        <w:t xml:space="preserve"> </w:t>
      </w:r>
      <w:r w:rsidR="00A4097D">
        <w:rPr>
          <w:rFonts w:ascii="Times New Roman" w:hAnsi="Times New Roman" w:cs="Times New Roman"/>
          <w:sz w:val="24"/>
          <w:szCs w:val="24"/>
        </w:rPr>
        <w:t xml:space="preserve">funding conditions. </w:t>
      </w:r>
      <w:r w:rsidR="00683492">
        <w:rPr>
          <w:rFonts w:ascii="Times New Roman" w:hAnsi="Times New Roman" w:cs="Times New Roman"/>
          <w:sz w:val="24"/>
          <w:szCs w:val="24"/>
        </w:rPr>
        <w:t xml:space="preserve">In the first, </w:t>
      </w:r>
      <w:r w:rsidR="00A4097D">
        <w:rPr>
          <w:rFonts w:ascii="Times New Roman" w:hAnsi="Times New Roman" w:cs="Times New Roman"/>
          <w:sz w:val="24"/>
          <w:szCs w:val="24"/>
        </w:rPr>
        <w:t xml:space="preserve">assets are set to </w:t>
      </w:r>
      <w:r w:rsidR="000C2B3F">
        <w:rPr>
          <w:rFonts w:ascii="Times New Roman" w:hAnsi="Times New Roman" w:cs="Times New Roman"/>
          <w:sz w:val="24"/>
          <w:szCs w:val="24"/>
        </w:rPr>
        <w:t>70</w:t>
      </w:r>
      <w:r w:rsidR="00683492">
        <w:rPr>
          <w:rFonts w:ascii="Times New Roman" w:hAnsi="Times New Roman" w:cs="Times New Roman"/>
          <w:sz w:val="24"/>
          <w:szCs w:val="24"/>
        </w:rPr>
        <w:t xml:space="preserve"> percent </w:t>
      </w:r>
      <w:r w:rsidR="00A4097D">
        <w:rPr>
          <w:rFonts w:ascii="Times New Roman" w:hAnsi="Times New Roman" w:cs="Times New Roman"/>
          <w:sz w:val="24"/>
          <w:szCs w:val="24"/>
        </w:rPr>
        <w:t>of liabilities</w:t>
      </w:r>
      <w:r w:rsidR="00683492">
        <w:rPr>
          <w:rFonts w:ascii="Times New Roman" w:hAnsi="Times New Roman" w:cs="Times New Roman"/>
          <w:sz w:val="24"/>
          <w:szCs w:val="24"/>
        </w:rPr>
        <w:t xml:space="preserve"> (i.e., a </w:t>
      </w:r>
      <w:r w:rsidR="000C2B3F">
        <w:rPr>
          <w:rFonts w:ascii="Times New Roman" w:hAnsi="Times New Roman" w:cs="Times New Roman"/>
          <w:sz w:val="24"/>
          <w:szCs w:val="24"/>
        </w:rPr>
        <w:t>70</w:t>
      </w:r>
      <w:r w:rsidR="00683492">
        <w:rPr>
          <w:rFonts w:ascii="Times New Roman" w:hAnsi="Times New Roman" w:cs="Times New Roman"/>
          <w:sz w:val="24"/>
          <w:szCs w:val="24"/>
        </w:rPr>
        <w:t xml:space="preserve"> percent funding ratio)</w:t>
      </w:r>
      <w:r w:rsidR="00A4097D">
        <w:rPr>
          <w:rFonts w:ascii="Times New Roman" w:hAnsi="Times New Roman" w:cs="Times New Roman"/>
          <w:sz w:val="24"/>
          <w:szCs w:val="24"/>
        </w:rPr>
        <w:t xml:space="preserve">. </w:t>
      </w:r>
      <w:r w:rsidR="00683492">
        <w:rPr>
          <w:rFonts w:ascii="Times New Roman" w:hAnsi="Times New Roman" w:cs="Times New Roman"/>
          <w:sz w:val="24"/>
          <w:szCs w:val="24"/>
        </w:rPr>
        <w:t xml:space="preserve">In the second, </w:t>
      </w:r>
      <w:r w:rsidR="005A1FE1">
        <w:rPr>
          <w:rFonts w:ascii="Times New Roman" w:hAnsi="Times New Roman" w:cs="Times New Roman"/>
          <w:sz w:val="24"/>
          <w:szCs w:val="24"/>
        </w:rPr>
        <w:t xml:space="preserve">assets are set to </w:t>
      </w:r>
      <w:r w:rsidR="000C2B3F">
        <w:rPr>
          <w:rFonts w:ascii="Times New Roman" w:hAnsi="Times New Roman" w:cs="Times New Roman"/>
          <w:sz w:val="24"/>
          <w:szCs w:val="24"/>
        </w:rPr>
        <w:t>100</w:t>
      </w:r>
      <w:r w:rsidR="00A4097D">
        <w:rPr>
          <w:rFonts w:ascii="Times New Roman" w:hAnsi="Times New Roman" w:cs="Times New Roman"/>
          <w:sz w:val="24"/>
          <w:szCs w:val="24"/>
        </w:rPr>
        <w:t xml:space="preserve"> percent </w:t>
      </w:r>
      <w:r w:rsidR="005A1FE1">
        <w:rPr>
          <w:rFonts w:ascii="Times New Roman" w:hAnsi="Times New Roman" w:cs="Times New Roman"/>
          <w:sz w:val="24"/>
          <w:szCs w:val="24"/>
        </w:rPr>
        <w:t>of the liability</w:t>
      </w:r>
      <w:r w:rsidR="00A4097D">
        <w:rPr>
          <w:rFonts w:ascii="Times New Roman" w:hAnsi="Times New Roman" w:cs="Times New Roman"/>
          <w:sz w:val="24"/>
          <w:szCs w:val="24"/>
        </w:rPr>
        <w:t xml:space="preserve">. </w:t>
      </w:r>
      <w:r w:rsidR="00B208C4">
        <w:rPr>
          <w:rFonts w:ascii="Times New Roman" w:hAnsi="Times New Roman" w:cs="Times New Roman"/>
          <w:sz w:val="24"/>
          <w:szCs w:val="24"/>
        </w:rPr>
        <w:t xml:space="preserve">We then calculate the effects of marginal changes in actuarial inputs on the funding ratios and ARCs </w:t>
      </w:r>
      <w:r w:rsidR="000C2B3F">
        <w:rPr>
          <w:rFonts w:ascii="Times New Roman" w:hAnsi="Times New Roman" w:cs="Times New Roman"/>
          <w:sz w:val="24"/>
          <w:szCs w:val="24"/>
        </w:rPr>
        <w:t>at both of those funding levels</w:t>
      </w:r>
      <w:r w:rsidR="00B208C4">
        <w:rPr>
          <w:rFonts w:ascii="Times New Roman" w:hAnsi="Times New Roman" w:cs="Times New Roman"/>
          <w:sz w:val="24"/>
          <w:szCs w:val="24"/>
        </w:rPr>
        <w:t xml:space="preserve">. </w:t>
      </w:r>
    </w:p>
    <w:p w14:paraId="6A675A9B" w14:textId="26664DDE" w:rsidR="004F3654" w:rsidRPr="00BD702E" w:rsidRDefault="00BD702E" w:rsidP="00BD702E">
      <w:pPr>
        <w:spacing w:after="0" w:line="480" w:lineRule="auto"/>
        <w:rPr>
          <w:rFonts w:ascii="Times New Roman" w:hAnsi="Times New Roman" w:cs="Times New Roman"/>
          <w:sz w:val="28"/>
          <w:szCs w:val="24"/>
        </w:rPr>
      </w:pPr>
      <w:r w:rsidRPr="00BD702E">
        <w:rPr>
          <w:rFonts w:ascii="Times New Roman" w:hAnsi="Times New Roman" w:cs="Times New Roman"/>
          <w:sz w:val="28"/>
          <w:szCs w:val="24"/>
        </w:rPr>
        <w:t>Results</w:t>
      </w:r>
    </w:p>
    <w:p w14:paraId="1FE3A043" w14:textId="0671FB45" w:rsidR="00817C7B" w:rsidRDefault="00B208C4" w:rsidP="00B208C4">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CA27A0">
        <w:rPr>
          <w:rFonts w:ascii="Times New Roman" w:hAnsi="Times New Roman" w:cs="Times New Roman"/>
          <w:sz w:val="24"/>
          <w:szCs w:val="24"/>
        </w:rPr>
        <w:t xml:space="preserve">In </w:t>
      </w:r>
      <w:r>
        <w:rPr>
          <w:rFonts w:ascii="Times New Roman" w:hAnsi="Times New Roman" w:cs="Times New Roman"/>
          <w:sz w:val="24"/>
          <w:szCs w:val="24"/>
        </w:rPr>
        <w:t xml:space="preserve">this section, we discuss </w:t>
      </w:r>
      <w:r w:rsidR="00CA27A0">
        <w:rPr>
          <w:rFonts w:ascii="Times New Roman" w:hAnsi="Times New Roman" w:cs="Times New Roman"/>
          <w:sz w:val="24"/>
          <w:szCs w:val="24"/>
        </w:rPr>
        <w:t>the marginal effect</w:t>
      </w:r>
      <w:r w:rsidR="001A1B17">
        <w:rPr>
          <w:rFonts w:ascii="Times New Roman" w:hAnsi="Times New Roman" w:cs="Times New Roman"/>
          <w:sz w:val="24"/>
          <w:szCs w:val="24"/>
        </w:rPr>
        <w:t>s</w:t>
      </w:r>
      <w:r w:rsidR="00CA27A0">
        <w:rPr>
          <w:rFonts w:ascii="Times New Roman" w:hAnsi="Times New Roman" w:cs="Times New Roman"/>
          <w:sz w:val="24"/>
          <w:szCs w:val="24"/>
        </w:rPr>
        <w:t xml:space="preserve"> of changes </w:t>
      </w:r>
      <w:r>
        <w:rPr>
          <w:rFonts w:ascii="Times New Roman" w:hAnsi="Times New Roman" w:cs="Times New Roman"/>
          <w:sz w:val="24"/>
          <w:szCs w:val="24"/>
        </w:rPr>
        <w:t>to</w:t>
      </w:r>
      <w:r w:rsidR="00CA27A0">
        <w:rPr>
          <w:rFonts w:ascii="Times New Roman" w:hAnsi="Times New Roman" w:cs="Times New Roman"/>
          <w:sz w:val="24"/>
          <w:szCs w:val="24"/>
        </w:rPr>
        <w:t xml:space="preserve"> </w:t>
      </w:r>
      <w:r>
        <w:rPr>
          <w:rFonts w:ascii="Times New Roman" w:hAnsi="Times New Roman" w:cs="Times New Roman"/>
          <w:sz w:val="24"/>
          <w:szCs w:val="24"/>
        </w:rPr>
        <w:t xml:space="preserve">discount rates, salary growth rate assumptions, mortality tables, </w:t>
      </w:r>
      <w:r w:rsidR="005D3A43">
        <w:rPr>
          <w:rFonts w:ascii="Times New Roman" w:hAnsi="Times New Roman" w:cs="Times New Roman"/>
          <w:sz w:val="24"/>
          <w:szCs w:val="24"/>
        </w:rPr>
        <w:t xml:space="preserve">cost methods, and amortization periods. </w:t>
      </w:r>
      <w:r w:rsidR="00817C7B">
        <w:rPr>
          <w:rFonts w:ascii="Times New Roman" w:hAnsi="Times New Roman" w:cs="Times New Roman"/>
          <w:sz w:val="24"/>
          <w:szCs w:val="24"/>
        </w:rPr>
        <w:t>Figures 1 and 2 provide a summary view of the range of funding ratios we found by making marginal changes to the actua</w:t>
      </w:r>
      <w:r w:rsidR="00BB7A2E">
        <w:rPr>
          <w:rFonts w:ascii="Times New Roman" w:hAnsi="Times New Roman" w:cs="Times New Roman"/>
          <w:sz w:val="24"/>
          <w:szCs w:val="24"/>
        </w:rPr>
        <w:t>rial</w:t>
      </w:r>
      <w:r w:rsidR="00817C7B">
        <w:rPr>
          <w:rFonts w:ascii="Times New Roman" w:hAnsi="Times New Roman" w:cs="Times New Roman"/>
          <w:sz w:val="24"/>
          <w:szCs w:val="24"/>
        </w:rPr>
        <w:t xml:space="preserve"> inputs of the median plan</w:t>
      </w:r>
      <w:r w:rsidR="000D1473">
        <w:rPr>
          <w:rFonts w:ascii="Times New Roman" w:hAnsi="Times New Roman" w:cs="Times New Roman"/>
          <w:sz w:val="24"/>
          <w:szCs w:val="24"/>
        </w:rPr>
        <w:t xml:space="preserve"> while holding all other inputs constant at their median values</w:t>
      </w:r>
      <w:r w:rsidR="00817C7B">
        <w:rPr>
          <w:rFonts w:ascii="Times New Roman" w:hAnsi="Times New Roman" w:cs="Times New Roman"/>
          <w:sz w:val="24"/>
          <w:szCs w:val="24"/>
        </w:rPr>
        <w:t xml:space="preserve">. </w:t>
      </w:r>
      <w:r w:rsidR="00367036">
        <w:rPr>
          <w:rFonts w:ascii="Times New Roman" w:hAnsi="Times New Roman" w:cs="Times New Roman"/>
          <w:sz w:val="24"/>
          <w:szCs w:val="24"/>
        </w:rPr>
        <w:t xml:space="preserve">In both </w:t>
      </w:r>
      <w:r w:rsidR="00BB7A2E">
        <w:rPr>
          <w:rFonts w:ascii="Times New Roman" w:hAnsi="Times New Roman" w:cs="Times New Roman"/>
          <w:sz w:val="24"/>
          <w:szCs w:val="24"/>
        </w:rPr>
        <w:t>f</w:t>
      </w:r>
      <w:r w:rsidR="00367036">
        <w:rPr>
          <w:rFonts w:ascii="Times New Roman" w:hAnsi="Times New Roman" w:cs="Times New Roman"/>
          <w:sz w:val="24"/>
          <w:szCs w:val="24"/>
        </w:rPr>
        <w:t xml:space="preserve">igures, the circle in the vertical bars represents the median funding ratio and median ARC, respectively. </w:t>
      </w:r>
      <w:r w:rsidR="00817C7B">
        <w:rPr>
          <w:rFonts w:ascii="Times New Roman" w:hAnsi="Times New Roman" w:cs="Times New Roman"/>
          <w:sz w:val="24"/>
          <w:szCs w:val="24"/>
        </w:rPr>
        <w:t>Th</w:t>
      </w:r>
      <w:r w:rsidR="00367036">
        <w:rPr>
          <w:rFonts w:ascii="Times New Roman" w:hAnsi="Times New Roman" w:cs="Times New Roman"/>
          <w:sz w:val="24"/>
          <w:szCs w:val="24"/>
        </w:rPr>
        <w:t>e</w:t>
      </w:r>
      <w:r w:rsidR="00817C7B">
        <w:rPr>
          <w:rFonts w:ascii="Times New Roman" w:hAnsi="Times New Roman" w:cs="Times New Roman"/>
          <w:sz w:val="24"/>
          <w:szCs w:val="24"/>
        </w:rPr>
        <w:t xml:space="preserve"> results illustrate the significant </w:t>
      </w:r>
      <w:r w:rsidR="00BB7A2E">
        <w:rPr>
          <w:rFonts w:ascii="Times New Roman" w:hAnsi="Times New Roman" w:cs="Times New Roman"/>
          <w:sz w:val="24"/>
          <w:szCs w:val="24"/>
        </w:rPr>
        <w:t xml:space="preserve">range of </w:t>
      </w:r>
      <w:r w:rsidR="00817C7B">
        <w:rPr>
          <w:rFonts w:ascii="Times New Roman" w:hAnsi="Times New Roman" w:cs="Times New Roman"/>
          <w:sz w:val="24"/>
          <w:szCs w:val="24"/>
        </w:rPr>
        <w:t>effect</w:t>
      </w:r>
      <w:r w:rsidR="00BB7A2E">
        <w:rPr>
          <w:rFonts w:ascii="Times New Roman" w:hAnsi="Times New Roman" w:cs="Times New Roman"/>
          <w:sz w:val="24"/>
          <w:szCs w:val="24"/>
        </w:rPr>
        <w:t xml:space="preserve">s on the funding ratio and ARC as a result of changing the </w:t>
      </w:r>
      <w:r w:rsidR="00817C7B">
        <w:rPr>
          <w:rFonts w:ascii="Times New Roman" w:hAnsi="Times New Roman" w:cs="Times New Roman"/>
          <w:sz w:val="24"/>
          <w:szCs w:val="24"/>
        </w:rPr>
        <w:t xml:space="preserve">discount rate and the significant </w:t>
      </w:r>
      <w:r w:rsidR="00BB7A2E">
        <w:rPr>
          <w:rFonts w:ascii="Times New Roman" w:hAnsi="Times New Roman" w:cs="Times New Roman"/>
          <w:sz w:val="24"/>
          <w:szCs w:val="24"/>
        </w:rPr>
        <w:t xml:space="preserve">range of </w:t>
      </w:r>
      <w:r w:rsidR="00817C7B">
        <w:rPr>
          <w:rFonts w:ascii="Times New Roman" w:hAnsi="Times New Roman" w:cs="Times New Roman"/>
          <w:sz w:val="24"/>
          <w:szCs w:val="24"/>
        </w:rPr>
        <w:t>effect</w:t>
      </w:r>
      <w:r w:rsidR="00BB7A2E">
        <w:rPr>
          <w:rFonts w:ascii="Times New Roman" w:hAnsi="Times New Roman" w:cs="Times New Roman"/>
          <w:sz w:val="24"/>
          <w:szCs w:val="24"/>
        </w:rPr>
        <w:t>s</w:t>
      </w:r>
      <w:r w:rsidR="00817C7B">
        <w:rPr>
          <w:rFonts w:ascii="Times New Roman" w:hAnsi="Times New Roman" w:cs="Times New Roman"/>
          <w:sz w:val="24"/>
          <w:szCs w:val="24"/>
        </w:rPr>
        <w:t xml:space="preserve"> </w:t>
      </w:r>
      <w:r w:rsidR="00BB7A2E">
        <w:rPr>
          <w:rFonts w:ascii="Times New Roman" w:hAnsi="Times New Roman" w:cs="Times New Roman"/>
          <w:sz w:val="24"/>
          <w:szCs w:val="24"/>
        </w:rPr>
        <w:t xml:space="preserve">that is produced on the ARC by changing the </w:t>
      </w:r>
      <w:r w:rsidR="00817C7B">
        <w:rPr>
          <w:rFonts w:ascii="Times New Roman" w:hAnsi="Times New Roman" w:cs="Times New Roman"/>
          <w:sz w:val="24"/>
          <w:szCs w:val="24"/>
        </w:rPr>
        <w:t xml:space="preserve">salary growth rate assumption. The other </w:t>
      </w:r>
      <w:r w:rsidR="008D74D5">
        <w:rPr>
          <w:rFonts w:ascii="Times New Roman" w:hAnsi="Times New Roman" w:cs="Times New Roman"/>
          <w:sz w:val="24"/>
          <w:szCs w:val="24"/>
        </w:rPr>
        <w:t xml:space="preserve">effects </w:t>
      </w:r>
      <w:r w:rsidR="00817C7B">
        <w:rPr>
          <w:rFonts w:ascii="Times New Roman" w:hAnsi="Times New Roman" w:cs="Times New Roman"/>
          <w:sz w:val="24"/>
          <w:szCs w:val="24"/>
        </w:rPr>
        <w:t xml:space="preserve">are also meaningful </w:t>
      </w:r>
      <w:r w:rsidR="00240E26">
        <w:rPr>
          <w:rFonts w:ascii="Times New Roman" w:hAnsi="Times New Roman" w:cs="Times New Roman"/>
          <w:sz w:val="24"/>
          <w:szCs w:val="24"/>
        </w:rPr>
        <w:t>though</w:t>
      </w:r>
      <w:r w:rsidR="00817C7B">
        <w:rPr>
          <w:rFonts w:ascii="Times New Roman" w:hAnsi="Times New Roman" w:cs="Times New Roman"/>
          <w:sz w:val="24"/>
          <w:szCs w:val="24"/>
        </w:rPr>
        <w:t xml:space="preserve"> </w:t>
      </w:r>
      <w:r w:rsidR="00BB7A2E">
        <w:rPr>
          <w:rFonts w:ascii="Times New Roman" w:hAnsi="Times New Roman" w:cs="Times New Roman"/>
          <w:sz w:val="24"/>
          <w:szCs w:val="24"/>
        </w:rPr>
        <w:t xml:space="preserve">they do not </w:t>
      </w:r>
      <w:r w:rsidR="00817C7B">
        <w:rPr>
          <w:rFonts w:ascii="Times New Roman" w:hAnsi="Times New Roman" w:cs="Times New Roman"/>
          <w:sz w:val="24"/>
          <w:szCs w:val="24"/>
        </w:rPr>
        <w:t xml:space="preserve">create the same </w:t>
      </w:r>
      <w:r w:rsidR="00BB7A2E">
        <w:rPr>
          <w:rFonts w:ascii="Times New Roman" w:hAnsi="Times New Roman" w:cs="Times New Roman"/>
          <w:sz w:val="24"/>
          <w:szCs w:val="24"/>
        </w:rPr>
        <w:t xml:space="preserve">range of potential changes. </w:t>
      </w:r>
    </w:p>
    <w:p w14:paraId="636F7F93" w14:textId="74E7661E" w:rsidR="00817C7B" w:rsidRDefault="00817C7B" w:rsidP="00817C7B">
      <w:pPr>
        <w:spacing w:after="0" w:line="480" w:lineRule="auto"/>
        <w:contextualSpacing/>
        <w:jc w:val="center"/>
        <w:rPr>
          <w:rFonts w:ascii="Times New Roman" w:hAnsi="Times New Roman" w:cs="Times New Roman"/>
          <w:sz w:val="24"/>
          <w:szCs w:val="24"/>
        </w:rPr>
      </w:pPr>
      <w:r>
        <w:rPr>
          <w:rFonts w:ascii="Times New Roman" w:hAnsi="Times New Roman" w:cs="Times New Roman"/>
          <w:sz w:val="24"/>
          <w:szCs w:val="24"/>
        </w:rPr>
        <w:t>&lt;Figure 1&gt;</w:t>
      </w:r>
    </w:p>
    <w:p w14:paraId="477E1207" w14:textId="1DB6CEAB" w:rsidR="00817C7B" w:rsidRDefault="00817C7B" w:rsidP="00817C7B">
      <w:pPr>
        <w:spacing w:after="0" w:line="480" w:lineRule="auto"/>
        <w:contextualSpacing/>
        <w:jc w:val="center"/>
        <w:rPr>
          <w:rFonts w:ascii="Times New Roman" w:hAnsi="Times New Roman" w:cs="Times New Roman"/>
          <w:sz w:val="24"/>
          <w:szCs w:val="24"/>
        </w:rPr>
      </w:pPr>
      <w:r>
        <w:rPr>
          <w:rFonts w:ascii="Times New Roman" w:hAnsi="Times New Roman" w:cs="Times New Roman"/>
          <w:sz w:val="24"/>
          <w:szCs w:val="24"/>
        </w:rPr>
        <w:t>&lt;Figure 2&gt;</w:t>
      </w:r>
    </w:p>
    <w:p w14:paraId="6CC75A97" w14:textId="093A7E0C" w:rsidR="006E0798" w:rsidRDefault="00817C7B" w:rsidP="00B208C4">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ab/>
      </w:r>
      <w:r w:rsidR="00B208C4">
        <w:rPr>
          <w:rFonts w:ascii="Times New Roman" w:hAnsi="Times New Roman" w:cs="Times New Roman"/>
          <w:sz w:val="24"/>
          <w:szCs w:val="24"/>
        </w:rPr>
        <w:t xml:space="preserve">The results </w:t>
      </w:r>
      <w:r>
        <w:rPr>
          <w:rFonts w:ascii="Times New Roman" w:hAnsi="Times New Roman" w:cs="Times New Roman"/>
          <w:sz w:val="24"/>
          <w:szCs w:val="24"/>
        </w:rPr>
        <w:t xml:space="preserve">of marginal changes </w:t>
      </w:r>
      <w:r w:rsidR="00B208C4">
        <w:rPr>
          <w:rFonts w:ascii="Times New Roman" w:hAnsi="Times New Roman" w:cs="Times New Roman"/>
          <w:sz w:val="24"/>
          <w:szCs w:val="24"/>
        </w:rPr>
        <w:t xml:space="preserve">on </w:t>
      </w:r>
      <w:r w:rsidR="00A3423C">
        <w:rPr>
          <w:rFonts w:ascii="Times New Roman" w:hAnsi="Times New Roman" w:cs="Times New Roman"/>
          <w:sz w:val="24"/>
          <w:szCs w:val="24"/>
        </w:rPr>
        <w:t>funding ratio</w:t>
      </w:r>
      <w:r w:rsidR="00DA4FA7">
        <w:rPr>
          <w:rFonts w:ascii="Times New Roman" w:hAnsi="Times New Roman" w:cs="Times New Roman"/>
          <w:sz w:val="24"/>
          <w:szCs w:val="24"/>
        </w:rPr>
        <w:t>s</w:t>
      </w:r>
      <w:r w:rsidR="00A3423C">
        <w:rPr>
          <w:rFonts w:ascii="Times New Roman" w:hAnsi="Times New Roman" w:cs="Times New Roman"/>
          <w:sz w:val="24"/>
          <w:szCs w:val="24"/>
        </w:rPr>
        <w:t xml:space="preserve"> are shown in </w:t>
      </w:r>
      <w:r w:rsidR="00FD6B93">
        <w:rPr>
          <w:rFonts w:ascii="Times New Roman" w:hAnsi="Times New Roman" w:cs="Times New Roman"/>
          <w:sz w:val="24"/>
          <w:szCs w:val="24"/>
        </w:rPr>
        <w:t>t</w:t>
      </w:r>
      <w:r w:rsidR="00A3423C">
        <w:rPr>
          <w:rFonts w:ascii="Times New Roman" w:hAnsi="Times New Roman" w:cs="Times New Roman"/>
          <w:sz w:val="24"/>
          <w:szCs w:val="24"/>
        </w:rPr>
        <w:t xml:space="preserve">able 4 and </w:t>
      </w:r>
      <w:r w:rsidR="00B208C4">
        <w:rPr>
          <w:rFonts w:ascii="Times New Roman" w:hAnsi="Times New Roman" w:cs="Times New Roman"/>
          <w:sz w:val="24"/>
          <w:szCs w:val="24"/>
        </w:rPr>
        <w:t>the results on ARC</w:t>
      </w:r>
      <w:r w:rsidR="005D3A43">
        <w:rPr>
          <w:rFonts w:ascii="Times New Roman" w:hAnsi="Times New Roman" w:cs="Times New Roman"/>
          <w:sz w:val="24"/>
          <w:szCs w:val="24"/>
        </w:rPr>
        <w:t>s</w:t>
      </w:r>
      <w:r w:rsidR="00B208C4">
        <w:rPr>
          <w:rFonts w:ascii="Times New Roman" w:hAnsi="Times New Roman" w:cs="Times New Roman"/>
          <w:sz w:val="24"/>
          <w:szCs w:val="24"/>
        </w:rPr>
        <w:t xml:space="preserve"> </w:t>
      </w:r>
      <w:r w:rsidR="005D3A43">
        <w:rPr>
          <w:rFonts w:ascii="Times New Roman" w:hAnsi="Times New Roman" w:cs="Times New Roman"/>
          <w:sz w:val="24"/>
          <w:szCs w:val="24"/>
        </w:rPr>
        <w:t>are</w:t>
      </w:r>
      <w:r w:rsidR="00B208C4">
        <w:rPr>
          <w:rFonts w:ascii="Times New Roman" w:hAnsi="Times New Roman" w:cs="Times New Roman"/>
          <w:sz w:val="24"/>
          <w:szCs w:val="24"/>
        </w:rPr>
        <w:t xml:space="preserve"> </w:t>
      </w:r>
      <w:r w:rsidR="005D3A43">
        <w:rPr>
          <w:rFonts w:ascii="Times New Roman" w:hAnsi="Times New Roman" w:cs="Times New Roman"/>
          <w:sz w:val="24"/>
          <w:szCs w:val="24"/>
        </w:rPr>
        <w:t xml:space="preserve">presented </w:t>
      </w:r>
      <w:r w:rsidR="00B208C4">
        <w:rPr>
          <w:rFonts w:ascii="Times New Roman" w:hAnsi="Times New Roman" w:cs="Times New Roman"/>
          <w:sz w:val="24"/>
          <w:szCs w:val="24"/>
        </w:rPr>
        <w:t xml:space="preserve">in </w:t>
      </w:r>
      <w:r w:rsidR="00FD6B93">
        <w:rPr>
          <w:rFonts w:ascii="Times New Roman" w:hAnsi="Times New Roman" w:cs="Times New Roman"/>
          <w:sz w:val="24"/>
          <w:szCs w:val="24"/>
        </w:rPr>
        <w:t>t</w:t>
      </w:r>
      <w:r w:rsidR="00B208C4">
        <w:rPr>
          <w:rFonts w:ascii="Times New Roman" w:hAnsi="Times New Roman" w:cs="Times New Roman"/>
          <w:sz w:val="24"/>
          <w:szCs w:val="24"/>
        </w:rPr>
        <w:t xml:space="preserve">able </w:t>
      </w:r>
      <w:r w:rsidR="00A3423C">
        <w:rPr>
          <w:rFonts w:ascii="Times New Roman" w:hAnsi="Times New Roman" w:cs="Times New Roman"/>
          <w:sz w:val="24"/>
          <w:szCs w:val="24"/>
        </w:rPr>
        <w:t>5.</w:t>
      </w:r>
      <w:r>
        <w:rPr>
          <w:rFonts w:ascii="Times New Roman" w:hAnsi="Times New Roman" w:cs="Times New Roman"/>
          <w:sz w:val="24"/>
          <w:szCs w:val="24"/>
        </w:rPr>
        <w:t xml:space="preserve"> Those tables show the marginal effects on the median plan in column 1. They present the effects on a plan with a younger demographic in column 2 and an older demographic in column 3. The only difference between columns 1, 2, and 3 are the age demographic of their participants; assets in each of those columns are fixed to the same </w:t>
      </w:r>
      <w:r w:rsidR="000C2B3F">
        <w:rPr>
          <w:rFonts w:ascii="Times New Roman" w:hAnsi="Times New Roman" w:cs="Times New Roman"/>
          <w:sz w:val="24"/>
          <w:szCs w:val="24"/>
        </w:rPr>
        <w:t>level</w:t>
      </w:r>
      <w:r>
        <w:rPr>
          <w:rFonts w:ascii="Times New Roman" w:hAnsi="Times New Roman" w:cs="Times New Roman"/>
          <w:sz w:val="24"/>
          <w:szCs w:val="24"/>
        </w:rPr>
        <w:t xml:space="preserve">, so that the </w:t>
      </w:r>
      <w:r w:rsidR="00BB7A2E">
        <w:rPr>
          <w:rFonts w:ascii="Times New Roman" w:hAnsi="Times New Roman" w:cs="Times New Roman"/>
          <w:sz w:val="24"/>
          <w:szCs w:val="24"/>
        </w:rPr>
        <w:t xml:space="preserve">funding level at the median condition is </w:t>
      </w:r>
      <w:r>
        <w:rPr>
          <w:rFonts w:ascii="Times New Roman" w:hAnsi="Times New Roman" w:cs="Times New Roman"/>
          <w:sz w:val="24"/>
          <w:szCs w:val="24"/>
        </w:rPr>
        <w:t>85.</w:t>
      </w:r>
      <w:r w:rsidR="000C2B3F">
        <w:rPr>
          <w:rFonts w:ascii="Times New Roman" w:hAnsi="Times New Roman" w:cs="Times New Roman"/>
          <w:sz w:val="24"/>
          <w:szCs w:val="24"/>
        </w:rPr>
        <w:t>4</w:t>
      </w:r>
      <w:r>
        <w:rPr>
          <w:rFonts w:ascii="Times New Roman" w:hAnsi="Times New Roman" w:cs="Times New Roman"/>
          <w:sz w:val="24"/>
          <w:szCs w:val="24"/>
        </w:rPr>
        <w:t xml:space="preserve"> percent. Column 4 provides information on the median plan when </w:t>
      </w:r>
      <w:r w:rsidR="00BB7A2E">
        <w:rPr>
          <w:rFonts w:ascii="Times New Roman" w:hAnsi="Times New Roman" w:cs="Times New Roman"/>
          <w:sz w:val="24"/>
          <w:szCs w:val="24"/>
        </w:rPr>
        <w:t>its</w:t>
      </w:r>
      <w:r>
        <w:rPr>
          <w:rFonts w:ascii="Times New Roman" w:hAnsi="Times New Roman" w:cs="Times New Roman"/>
          <w:sz w:val="24"/>
          <w:szCs w:val="24"/>
        </w:rPr>
        <w:t xml:space="preserve"> asset level is fixed to 70 percent</w:t>
      </w:r>
      <w:r w:rsidR="00BB7A2E">
        <w:rPr>
          <w:rFonts w:ascii="Times New Roman" w:hAnsi="Times New Roman" w:cs="Times New Roman"/>
          <w:sz w:val="24"/>
          <w:szCs w:val="24"/>
        </w:rPr>
        <w:t xml:space="preserve"> of its liability</w:t>
      </w:r>
      <w:r>
        <w:rPr>
          <w:rFonts w:ascii="Times New Roman" w:hAnsi="Times New Roman" w:cs="Times New Roman"/>
          <w:sz w:val="24"/>
          <w:szCs w:val="24"/>
        </w:rPr>
        <w:t xml:space="preserve">, and column 5 fixes the assets to 100 percent of </w:t>
      </w:r>
      <w:r w:rsidR="00BB7A2E">
        <w:rPr>
          <w:rFonts w:ascii="Times New Roman" w:hAnsi="Times New Roman" w:cs="Times New Roman"/>
          <w:sz w:val="24"/>
          <w:szCs w:val="24"/>
        </w:rPr>
        <w:t>its</w:t>
      </w:r>
      <w:r>
        <w:rPr>
          <w:rFonts w:ascii="Times New Roman" w:hAnsi="Times New Roman" w:cs="Times New Roman"/>
          <w:sz w:val="24"/>
          <w:szCs w:val="24"/>
        </w:rPr>
        <w:t xml:space="preserve"> liability. The rest of this section provides analysis on each of the actuarial inputs.</w:t>
      </w:r>
    </w:p>
    <w:p w14:paraId="48B76C44" w14:textId="4700AC2E" w:rsidR="00A3423C" w:rsidRDefault="00DA4FA7" w:rsidP="00DA4FA7">
      <w:pPr>
        <w:spacing w:after="0" w:line="480" w:lineRule="auto"/>
        <w:contextualSpacing/>
        <w:jc w:val="center"/>
        <w:rPr>
          <w:rFonts w:ascii="Times New Roman" w:hAnsi="Times New Roman" w:cs="Times New Roman"/>
          <w:sz w:val="24"/>
          <w:szCs w:val="24"/>
        </w:rPr>
      </w:pPr>
      <w:r>
        <w:rPr>
          <w:rFonts w:ascii="Times New Roman" w:hAnsi="Times New Roman" w:cs="Times New Roman"/>
          <w:sz w:val="24"/>
          <w:szCs w:val="24"/>
        </w:rPr>
        <w:t>&lt;Table 4&gt;</w:t>
      </w:r>
    </w:p>
    <w:p w14:paraId="2DBE4494" w14:textId="7FDA4530" w:rsidR="00DA4FA7" w:rsidRDefault="00DA4FA7" w:rsidP="00DA4FA7">
      <w:pPr>
        <w:spacing w:after="0" w:line="480" w:lineRule="auto"/>
        <w:contextualSpacing/>
        <w:jc w:val="center"/>
        <w:rPr>
          <w:rFonts w:ascii="Times New Roman" w:hAnsi="Times New Roman" w:cs="Times New Roman"/>
          <w:sz w:val="24"/>
          <w:szCs w:val="24"/>
        </w:rPr>
      </w:pPr>
      <w:r>
        <w:rPr>
          <w:rFonts w:ascii="Times New Roman" w:hAnsi="Times New Roman" w:cs="Times New Roman"/>
          <w:sz w:val="24"/>
          <w:szCs w:val="24"/>
        </w:rPr>
        <w:t>&lt;Table 5&gt;</w:t>
      </w:r>
    </w:p>
    <w:p w14:paraId="3FA398C1" w14:textId="08849E60" w:rsidR="00825963" w:rsidRDefault="00683492" w:rsidP="00825963">
      <w:pPr>
        <w:spacing w:after="0" w:line="480" w:lineRule="auto"/>
        <w:contextualSpacing/>
        <w:rPr>
          <w:rFonts w:ascii="Times New Roman" w:hAnsi="Times New Roman" w:cs="Times New Roman"/>
          <w:b/>
          <w:sz w:val="24"/>
          <w:szCs w:val="24"/>
        </w:rPr>
      </w:pPr>
      <w:r>
        <w:rPr>
          <w:rFonts w:ascii="Times New Roman" w:hAnsi="Times New Roman" w:cs="Times New Roman"/>
          <w:b/>
          <w:sz w:val="24"/>
          <w:szCs w:val="24"/>
        </w:rPr>
        <w:t xml:space="preserve">Marginal </w:t>
      </w:r>
      <w:r w:rsidR="00BD702E">
        <w:rPr>
          <w:rFonts w:ascii="Times New Roman" w:hAnsi="Times New Roman" w:cs="Times New Roman"/>
          <w:b/>
          <w:sz w:val="24"/>
          <w:szCs w:val="24"/>
        </w:rPr>
        <w:t>Changes to the Discount Rate</w:t>
      </w:r>
    </w:p>
    <w:p w14:paraId="66C85C30" w14:textId="5F7FDB35" w:rsidR="00A4017E" w:rsidRDefault="000C2B3F" w:rsidP="002D2830">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683492">
        <w:rPr>
          <w:rFonts w:ascii="Times New Roman" w:hAnsi="Times New Roman" w:cs="Times New Roman"/>
          <w:sz w:val="24"/>
          <w:szCs w:val="24"/>
        </w:rPr>
        <w:t>We change</w:t>
      </w:r>
      <w:r>
        <w:rPr>
          <w:rFonts w:ascii="Times New Roman" w:hAnsi="Times New Roman" w:cs="Times New Roman"/>
          <w:sz w:val="24"/>
          <w:szCs w:val="24"/>
        </w:rPr>
        <w:t>d the</w:t>
      </w:r>
      <w:r w:rsidR="00683492">
        <w:rPr>
          <w:rFonts w:ascii="Times New Roman" w:hAnsi="Times New Roman" w:cs="Times New Roman"/>
          <w:sz w:val="24"/>
          <w:szCs w:val="24"/>
        </w:rPr>
        <w:t xml:space="preserve"> discount rate </w:t>
      </w:r>
      <w:r>
        <w:rPr>
          <w:rFonts w:ascii="Times New Roman" w:hAnsi="Times New Roman" w:cs="Times New Roman"/>
          <w:sz w:val="24"/>
          <w:szCs w:val="24"/>
        </w:rPr>
        <w:t xml:space="preserve">by .25 percentage point increments </w:t>
      </w:r>
      <w:r w:rsidR="00683492">
        <w:rPr>
          <w:rFonts w:ascii="Times New Roman" w:hAnsi="Times New Roman" w:cs="Times New Roman"/>
          <w:sz w:val="24"/>
          <w:szCs w:val="24"/>
        </w:rPr>
        <w:t xml:space="preserve">to </w:t>
      </w:r>
      <w:r>
        <w:rPr>
          <w:rFonts w:ascii="Times New Roman" w:hAnsi="Times New Roman" w:cs="Times New Roman"/>
          <w:sz w:val="24"/>
          <w:szCs w:val="24"/>
        </w:rPr>
        <w:t>measure</w:t>
      </w:r>
      <w:r w:rsidR="00AD18E2">
        <w:rPr>
          <w:rFonts w:ascii="Times New Roman" w:hAnsi="Times New Roman" w:cs="Times New Roman"/>
          <w:sz w:val="24"/>
          <w:szCs w:val="24"/>
        </w:rPr>
        <w:t xml:space="preserve"> </w:t>
      </w:r>
      <w:r w:rsidR="00BB7A2E">
        <w:rPr>
          <w:rFonts w:ascii="Times New Roman" w:hAnsi="Times New Roman" w:cs="Times New Roman"/>
          <w:sz w:val="24"/>
          <w:szCs w:val="24"/>
        </w:rPr>
        <w:t>its</w:t>
      </w:r>
      <w:r w:rsidR="00683492">
        <w:rPr>
          <w:rFonts w:ascii="Times New Roman" w:hAnsi="Times New Roman" w:cs="Times New Roman"/>
          <w:sz w:val="24"/>
          <w:szCs w:val="24"/>
        </w:rPr>
        <w:t xml:space="preserve"> effect on funding ratios (</w:t>
      </w:r>
      <w:r w:rsidR="00FD6B93">
        <w:rPr>
          <w:rFonts w:ascii="Times New Roman" w:hAnsi="Times New Roman" w:cs="Times New Roman"/>
          <w:sz w:val="24"/>
          <w:szCs w:val="24"/>
        </w:rPr>
        <w:t>t</w:t>
      </w:r>
      <w:r w:rsidR="00683492">
        <w:rPr>
          <w:rFonts w:ascii="Times New Roman" w:hAnsi="Times New Roman" w:cs="Times New Roman"/>
          <w:sz w:val="24"/>
          <w:szCs w:val="24"/>
        </w:rPr>
        <w:t>able 4, panel A) and ARCs (</w:t>
      </w:r>
      <w:r w:rsidR="00FD6B93">
        <w:rPr>
          <w:rFonts w:ascii="Times New Roman" w:hAnsi="Times New Roman" w:cs="Times New Roman"/>
          <w:sz w:val="24"/>
          <w:szCs w:val="24"/>
        </w:rPr>
        <w:t>t</w:t>
      </w:r>
      <w:r w:rsidR="00683492">
        <w:rPr>
          <w:rFonts w:ascii="Times New Roman" w:hAnsi="Times New Roman" w:cs="Times New Roman"/>
          <w:sz w:val="24"/>
          <w:szCs w:val="24"/>
        </w:rPr>
        <w:t xml:space="preserve">able 5, panel A). </w:t>
      </w:r>
      <w:r w:rsidR="00240E26">
        <w:rPr>
          <w:rFonts w:ascii="Times New Roman" w:hAnsi="Times New Roman" w:cs="Times New Roman"/>
          <w:sz w:val="24"/>
          <w:szCs w:val="24"/>
        </w:rPr>
        <w:t>As expected, we</w:t>
      </w:r>
      <w:r w:rsidR="005D3A43">
        <w:rPr>
          <w:rFonts w:ascii="Times New Roman" w:hAnsi="Times New Roman" w:cs="Times New Roman"/>
          <w:sz w:val="24"/>
          <w:szCs w:val="24"/>
        </w:rPr>
        <w:t xml:space="preserve"> find that funding ratios and ARCs are b</w:t>
      </w:r>
      <w:r w:rsidR="00FB202A">
        <w:rPr>
          <w:rFonts w:ascii="Times New Roman" w:hAnsi="Times New Roman" w:cs="Times New Roman"/>
          <w:sz w:val="24"/>
          <w:szCs w:val="24"/>
        </w:rPr>
        <w:t xml:space="preserve">oth </w:t>
      </w:r>
      <w:r w:rsidR="00493B76">
        <w:rPr>
          <w:rFonts w:ascii="Times New Roman" w:hAnsi="Times New Roman" w:cs="Times New Roman"/>
          <w:sz w:val="24"/>
          <w:szCs w:val="24"/>
        </w:rPr>
        <w:t xml:space="preserve">highly </w:t>
      </w:r>
      <w:r w:rsidR="00796922">
        <w:rPr>
          <w:rFonts w:ascii="Times New Roman" w:hAnsi="Times New Roman" w:cs="Times New Roman"/>
          <w:sz w:val="24"/>
          <w:szCs w:val="24"/>
        </w:rPr>
        <w:t>sensitive to change</w:t>
      </w:r>
      <w:r w:rsidR="00493B76">
        <w:rPr>
          <w:rFonts w:ascii="Times New Roman" w:hAnsi="Times New Roman" w:cs="Times New Roman"/>
          <w:sz w:val="24"/>
          <w:szCs w:val="24"/>
        </w:rPr>
        <w:t>s in</w:t>
      </w:r>
      <w:r w:rsidR="00796922">
        <w:rPr>
          <w:rFonts w:ascii="Times New Roman" w:hAnsi="Times New Roman" w:cs="Times New Roman"/>
          <w:sz w:val="24"/>
          <w:szCs w:val="24"/>
        </w:rPr>
        <w:t xml:space="preserve"> the </w:t>
      </w:r>
      <w:r w:rsidR="0086294C">
        <w:rPr>
          <w:rFonts w:ascii="Times New Roman" w:hAnsi="Times New Roman" w:cs="Times New Roman"/>
          <w:sz w:val="24"/>
          <w:szCs w:val="24"/>
        </w:rPr>
        <w:t>discount rate</w:t>
      </w:r>
      <w:r w:rsidR="00796922">
        <w:rPr>
          <w:rFonts w:ascii="Times New Roman" w:hAnsi="Times New Roman" w:cs="Times New Roman"/>
          <w:sz w:val="24"/>
          <w:szCs w:val="24"/>
        </w:rPr>
        <w:t xml:space="preserve">. </w:t>
      </w:r>
      <w:r w:rsidR="005D3A43">
        <w:rPr>
          <w:rFonts w:ascii="Times New Roman" w:hAnsi="Times New Roman" w:cs="Times New Roman"/>
          <w:sz w:val="24"/>
          <w:szCs w:val="24"/>
        </w:rPr>
        <w:t>In the median plan</w:t>
      </w:r>
      <w:r w:rsidR="00AD18E2">
        <w:rPr>
          <w:rFonts w:ascii="Times New Roman" w:hAnsi="Times New Roman" w:cs="Times New Roman"/>
          <w:sz w:val="24"/>
          <w:szCs w:val="24"/>
        </w:rPr>
        <w:t xml:space="preserve"> (column 1)</w:t>
      </w:r>
      <w:r w:rsidR="00CE1DB8">
        <w:rPr>
          <w:rFonts w:ascii="Times New Roman" w:hAnsi="Times New Roman" w:cs="Times New Roman"/>
          <w:sz w:val="24"/>
          <w:szCs w:val="24"/>
        </w:rPr>
        <w:t>,</w:t>
      </w:r>
      <w:r w:rsidR="00493B76">
        <w:rPr>
          <w:rFonts w:ascii="Times New Roman" w:hAnsi="Times New Roman" w:cs="Times New Roman"/>
          <w:sz w:val="24"/>
          <w:szCs w:val="24"/>
        </w:rPr>
        <w:t xml:space="preserve"> a</w:t>
      </w:r>
      <w:r w:rsidR="00CE1DB8">
        <w:rPr>
          <w:rFonts w:ascii="Times New Roman" w:hAnsi="Times New Roman" w:cs="Times New Roman"/>
          <w:sz w:val="24"/>
          <w:szCs w:val="24"/>
        </w:rPr>
        <w:t xml:space="preserve"> </w:t>
      </w:r>
      <w:r w:rsidR="005D3A43">
        <w:rPr>
          <w:rFonts w:ascii="Times New Roman" w:hAnsi="Times New Roman" w:cs="Times New Roman"/>
          <w:sz w:val="24"/>
          <w:szCs w:val="24"/>
        </w:rPr>
        <w:t>one-</w:t>
      </w:r>
      <w:r w:rsidR="0087362D">
        <w:rPr>
          <w:rFonts w:ascii="Times New Roman" w:hAnsi="Times New Roman" w:cs="Times New Roman"/>
          <w:sz w:val="24"/>
          <w:szCs w:val="24"/>
        </w:rPr>
        <w:t>percentage</w:t>
      </w:r>
      <w:r w:rsidR="00493B76">
        <w:rPr>
          <w:rFonts w:ascii="Times New Roman" w:hAnsi="Times New Roman" w:cs="Times New Roman"/>
          <w:sz w:val="24"/>
          <w:szCs w:val="24"/>
        </w:rPr>
        <w:t xml:space="preserve"> point</w:t>
      </w:r>
      <w:r w:rsidR="00CE1DB8">
        <w:rPr>
          <w:rFonts w:ascii="Times New Roman" w:hAnsi="Times New Roman" w:cs="Times New Roman"/>
          <w:sz w:val="24"/>
          <w:szCs w:val="24"/>
        </w:rPr>
        <w:t xml:space="preserve"> increase in </w:t>
      </w:r>
      <w:r w:rsidR="00493B76">
        <w:rPr>
          <w:rFonts w:ascii="Times New Roman" w:hAnsi="Times New Roman" w:cs="Times New Roman"/>
          <w:sz w:val="24"/>
          <w:szCs w:val="24"/>
        </w:rPr>
        <w:t xml:space="preserve">the </w:t>
      </w:r>
      <w:r w:rsidR="0086294C">
        <w:rPr>
          <w:rFonts w:ascii="Times New Roman" w:hAnsi="Times New Roman" w:cs="Times New Roman"/>
          <w:sz w:val="24"/>
          <w:szCs w:val="24"/>
        </w:rPr>
        <w:t>discount rate</w:t>
      </w:r>
      <w:r w:rsidR="00CE1DB8">
        <w:rPr>
          <w:rFonts w:ascii="Times New Roman" w:hAnsi="Times New Roman" w:cs="Times New Roman"/>
          <w:sz w:val="24"/>
          <w:szCs w:val="24"/>
        </w:rPr>
        <w:t xml:space="preserve"> incre</w:t>
      </w:r>
      <w:r w:rsidR="00796922">
        <w:rPr>
          <w:rFonts w:ascii="Times New Roman" w:hAnsi="Times New Roman" w:cs="Times New Roman"/>
          <w:sz w:val="24"/>
          <w:szCs w:val="24"/>
        </w:rPr>
        <w:t xml:space="preserve">ases the funding ratio by </w:t>
      </w:r>
      <w:r w:rsidR="00AD18E2">
        <w:rPr>
          <w:rFonts w:ascii="Times New Roman" w:hAnsi="Times New Roman" w:cs="Times New Roman"/>
          <w:sz w:val="24"/>
          <w:szCs w:val="24"/>
        </w:rPr>
        <w:t xml:space="preserve">an average of </w:t>
      </w:r>
      <w:r w:rsidR="0087362D">
        <w:rPr>
          <w:rFonts w:ascii="Times New Roman" w:hAnsi="Times New Roman" w:cs="Times New Roman"/>
          <w:sz w:val="24"/>
          <w:szCs w:val="24"/>
        </w:rPr>
        <w:t>9</w:t>
      </w:r>
      <w:r w:rsidR="00CA27A0">
        <w:rPr>
          <w:rFonts w:ascii="Times New Roman" w:hAnsi="Times New Roman" w:cs="Times New Roman"/>
          <w:sz w:val="24"/>
          <w:szCs w:val="24"/>
        </w:rPr>
        <w:t>.</w:t>
      </w:r>
      <w:r w:rsidR="0087362D">
        <w:rPr>
          <w:rFonts w:ascii="Times New Roman" w:hAnsi="Times New Roman" w:cs="Times New Roman"/>
          <w:sz w:val="24"/>
          <w:szCs w:val="24"/>
        </w:rPr>
        <w:t>11</w:t>
      </w:r>
      <w:r w:rsidR="00493B76">
        <w:rPr>
          <w:rFonts w:ascii="Times New Roman" w:hAnsi="Times New Roman" w:cs="Times New Roman"/>
          <w:sz w:val="24"/>
          <w:szCs w:val="24"/>
        </w:rPr>
        <w:t xml:space="preserve"> percentage points</w:t>
      </w:r>
      <w:r w:rsidR="00DA4FA7">
        <w:rPr>
          <w:rFonts w:ascii="Times New Roman" w:hAnsi="Times New Roman" w:cs="Times New Roman"/>
          <w:sz w:val="24"/>
          <w:szCs w:val="24"/>
        </w:rPr>
        <w:t>, and</w:t>
      </w:r>
      <w:r w:rsidR="00DA4FA7" w:rsidRPr="00DA4FA7">
        <w:rPr>
          <w:rFonts w:ascii="Times New Roman" w:hAnsi="Times New Roman" w:cs="Times New Roman"/>
          <w:sz w:val="24"/>
          <w:szCs w:val="24"/>
        </w:rPr>
        <w:t xml:space="preserve"> </w:t>
      </w:r>
      <w:r w:rsidR="00DA4FA7">
        <w:rPr>
          <w:rFonts w:ascii="Times New Roman" w:hAnsi="Times New Roman" w:cs="Times New Roman"/>
          <w:sz w:val="24"/>
          <w:szCs w:val="24"/>
        </w:rPr>
        <w:t xml:space="preserve">reduces the </w:t>
      </w:r>
      <w:r w:rsidR="00E570D8">
        <w:rPr>
          <w:rFonts w:ascii="Times New Roman" w:hAnsi="Times New Roman" w:cs="Times New Roman"/>
          <w:sz w:val="24"/>
          <w:szCs w:val="24"/>
        </w:rPr>
        <w:t>ARC</w:t>
      </w:r>
      <w:r w:rsidR="00DA4FA7">
        <w:rPr>
          <w:rFonts w:ascii="Times New Roman" w:hAnsi="Times New Roman" w:cs="Times New Roman"/>
          <w:sz w:val="24"/>
          <w:szCs w:val="24"/>
        </w:rPr>
        <w:t xml:space="preserve"> by </w:t>
      </w:r>
      <w:r w:rsidR="00AD18E2">
        <w:rPr>
          <w:rFonts w:ascii="Times New Roman" w:hAnsi="Times New Roman" w:cs="Times New Roman"/>
          <w:sz w:val="24"/>
          <w:szCs w:val="24"/>
        </w:rPr>
        <w:t xml:space="preserve">an average of </w:t>
      </w:r>
      <w:r w:rsidR="00DA4FA7">
        <w:rPr>
          <w:rFonts w:ascii="Times New Roman" w:hAnsi="Times New Roman" w:cs="Times New Roman"/>
          <w:sz w:val="24"/>
          <w:szCs w:val="24"/>
        </w:rPr>
        <w:t>8.56</w:t>
      </w:r>
      <w:r w:rsidR="00493B76">
        <w:rPr>
          <w:rFonts w:ascii="Times New Roman" w:hAnsi="Times New Roman" w:cs="Times New Roman"/>
          <w:sz w:val="24"/>
          <w:szCs w:val="24"/>
        </w:rPr>
        <w:t xml:space="preserve"> percent</w:t>
      </w:r>
      <w:r w:rsidR="005D3A43">
        <w:rPr>
          <w:rFonts w:ascii="Times New Roman" w:hAnsi="Times New Roman" w:cs="Times New Roman"/>
          <w:sz w:val="24"/>
          <w:szCs w:val="24"/>
        </w:rPr>
        <w:t>age points</w:t>
      </w:r>
      <w:r w:rsidR="00AD18E2">
        <w:rPr>
          <w:rFonts w:ascii="Times New Roman" w:hAnsi="Times New Roman" w:cs="Times New Roman"/>
          <w:sz w:val="24"/>
          <w:szCs w:val="24"/>
        </w:rPr>
        <w:t xml:space="preserve">. </w:t>
      </w:r>
    </w:p>
    <w:p w14:paraId="1FD9ED0E" w14:textId="5FCA1C09" w:rsidR="000C2B3F" w:rsidRDefault="00A4017E" w:rsidP="002D2830">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The median plan’s funding ratio goes from 85.4 percent to 67 percent when the discount rate shifts from its median value (8 percent) to 6 percent, and then up to 92.7 percent funded with a discount rate of 8.75 percent. </w:t>
      </w:r>
      <w:r w:rsidR="005D3A43">
        <w:rPr>
          <w:rFonts w:ascii="Times New Roman" w:hAnsi="Times New Roman" w:cs="Times New Roman"/>
          <w:sz w:val="24"/>
          <w:szCs w:val="24"/>
        </w:rPr>
        <w:t xml:space="preserve">That is a swing of </w:t>
      </w:r>
      <w:r>
        <w:rPr>
          <w:rFonts w:ascii="Times New Roman" w:hAnsi="Times New Roman" w:cs="Times New Roman"/>
          <w:sz w:val="24"/>
          <w:szCs w:val="24"/>
        </w:rPr>
        <w:t>approximately</w:t>
      </w:r>
      <w:r w:rsidR="005D3A43">
        <w:rPr>
          <w:rFonts w:ascii="Times New Roman" w:hAnsi="Times New Roman" w:cs="Times New Roman"/>
          <w:sz w:val="24"/>
          <w:szCs w:val="24"/>
        </w:rPr>
        <w:t xml:space="preserve"> 25 percentage points without changing </w:t>
      </w:r>
      <w:r>
        <w:rPr>
          <w:rFonts w:ascii="Times New Roman" w:hAnsi="Times New Roman" w:cs="Times New Roman"/>
          <w:sz w:val="24"/>
          <w:szCs w:val="24"/>
        </w:rPr>
        <w:t>any inputs other than the discount rate</w:t>
      </w:r>
      <w:r w:rsidR="005D3A43">
        <w:rPr>
          <w:rFonts w:ascii="Times New Roman" w:hAnsi="Times New Roman" w:cs="Times New Roman"/>
          <w:sz w:val="24"/>
          <w:szCs w:val="24"/>
        </w:rPr>
        <w:t xml:space="preserve">. </w:t>
      </w:r>
    </w:p>
    <w:p w14:paraId="43BE0245" w14:textId="08FF76F3" w:rsidR="00796922" w:rsidRDefault="00A4017E" w:rsidP="002D2830">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Under the median condition, the ARC is</w:t>
      </w:r>
      <w:r w:rsidR="005D3A43">
        <w:rPr>
          <w:rFonts w:ascii="Times New Roman" w:hAnsi="Times New Roman" w:cs="Times New Roman"/>
          <w:sz w:val="24"/>
          <w:szCs w:val="24"/>
        </w:rPr>
        <w:t xml:space="preserve"> 18.55</w:t>
      </w:r>
      <w:r w:rsidR="00367036">
        <w:rPr>
          <w:rFonts w:ascii="Times New Roman" w:hAnsi="Times New Roman" w:cs="Times New Roman"/>
          <w:sz w:val="24"/>
          <w:szCs w:val="24"/>
        </w:rPr>
        <w:t xml:space="preserve"> percent</w:t>
      </w:r>
      <w:r w:rsidR="000C2B3F">
        <w:rPr>
          <w:rFonts w:ascii="Times New Roman" w:hAnsi="Times New Roman" w:cs="Times New Roman"/>
          <w:sz w:val="24"/>
          <w:szCs w:val="24"/>
        </w:rPr>
        <w:t xml:space="preserve"> (of payroll)</w:t>
      </w:r>
      <w:r>
        <w:rPr>
          <w:rFonts w:ascii="Times New Roman" w:hAnsi="Times New Roman" w:cs="Times New Roman"/>
          <w:sz w:val="24"/>
          <w:szCs w:val="24"/>
        </w:rPr>
        <w:t xml:space="preserve">, but it goes up to 36 percent when the discount rate is </w:t>
      </w:r>
      <w:r w:rsidR="005D3A43">
        <w:rPr>
          <w:rFonts w:ascii="Times New Roman" w:hAnsi="Times New Roman" w:cs="Times New Roman"/>
          <w:sz w:val="24"/>
          <w:szCs w:val="24"/>
        </w:rPr>
        <w:t>6 percent</w:t>
      </w:r>
      <w:r>
        <w:rPr>
          <w:rFonts w:ascii="Times New Roman" w:hAnsi="Times New Roman" w:cs="Times New Roman"/>
          <w:sz w:val="24"/>
          <w:szCs w:val="24"/>
        </w:rPr>
        <w:t xml:space="preserve"> and </w:t>
      </w:r>
      <w:r w:rsidR="005D3A43">
        <w:rPr>
          <w:rFonts w:ascii="Times New Roman" w:hAnsi="Times New Roman" w:cs="Times New Roman"/>
          <w:sz w:val="24"/>
          <w:szCs w:val="24"/>
        </w:rPr>
        <w:t>drops to 12.5</w:t>
      </w:r>
      <w:r w:rsidR="00367036">
        <w:rPr>
          <w:rFonts w:ascii="Times New Roman" w:hAnsi="Times New Roman" w:cs="Times New Roman"/>
          <w:sz w:val="24"/>
          <w:szCs w:val="24"/>
        </w:rPr>
        <w:t xml:space="preserve"> percent</w:t>
      </w:r>
      <w:r w:rsidR="005D3A43">
        <w:rPr>
          <w:rFonts w:ascii="Times New Roman" w:hAnsi="Times New Roman" w:cs="Times New Roman"/>
          <w:sz w:val="24"/>
          <w:szCs w:val="24"/>
        </w:rPr>
        <w:t xml:space="preserve"> with </w:t>
      </w:r>
      <w:r>
        <w:rPr>
          <w:rFonts w:ascii="Times New Roman" w:hAnsi="Times New Roman" w:cs="Times New Roman"/>
          <w:sz w:val="24"/>
          <w:szCs w:val="24"/>
        </w:rPr>
        <w:t>a discount rate of</w:t>
      </w:r>
      <w:r w:rsidR="005D3A43">
        <w:rPr>
          <w:rFonts w:ascii="Times New Roman" w:hAnsi="Times New Roman" w:cs="Times New Roman"/>
          <w:sz w:val="24"/>
          <w:szCs w:val="24"/>
        </w:rPr>
        <w:t xml:space="preserve"> 8.75</w:t>
      </w:r>
      <w:r>
        <w:rPr>
          <w:rFonts w:ascii="Times New Roman" w:hAnsi="Times New Roman" w:cs="Times New Roman"/>
          <w:sz w:val="24"/>
          <w:szCs w:val="24"/>
        </w:rPr>
        <w:t xml:space="preserve"> </w:t>
      </w:r>
      <w:r>
        <w:rPr>
          <w:rFonts w:ascii="Times New Roman" w:hAnsi="Times New Roman" w:cs="Times New Roman"/>
          <w:sz w:val="24"/>
          <w:szCs w:val="24"/>
        </w:rPr>
        <w:lastRenderedPageBreak/>
        <w:t>percent</w:t>
      </w:r>
      <w:r w:rsidR="005D3A43">
        <w:rPr>
          <w:rFonts w:ascii="Times New Roman" w:hAnsi="Times New Roman" w:cs="Times New Roman"/>
          <w:sz w:val="24"/>
          <w:szCs w:val="24"/>
        </w:rPr>
        <w:t xml:space="preserve">. </w:t>
      </w:r>
      <w:r w:rsidR="00AD18E2">
        <w:rPr>
          <w:rFonts w:ascii="Times New Roman" w:hAnsi="Times New Roman" w:cs="Times New Roman"/>
          <w:sz w:val="24"/>
          <w:szCs w:val="24"/>
        </w:rPr>
        <w:t xml:space="preserve">About two-thirds of the effect on the ARC comes from </w:t>
      </w:r>
      <w:r>
        <w:rPr>
          <w:rFonts w:ascii="Times New Roman" w:hAnsi="Times New Roman" w:cs="Times New Roman"/>
          <w:sz w:val="24"/>
          <w:szCs w:val="24"/>
        </w:rPr>
        <w:t xml:space="preserve">changing the </w:t>
      </w:r>
      <w:r w:rsidR="00AD18E2">
        <w:rPr>
          <w:rFonts w:ascii="Times New Roman" w:hAnsi="Times New Roman" w:cs="Times New Roman"/>
          <w:sz w:val="24"/>
          <w:szCs w:val="24"/>
        </w:rPr>
        <w:t xml:space="preserve">UAAL cost. </w:t>
      </w:r>
      <w:r w:rsidR="005D3A43">
        <w:rPr>
          <w:rFonts w:ascii="Times New Roman" w:hAnsi="Times New Roman" w:cs="Times New Roman"/>
          <w:sz w:val="24"/>
          <w:szCs w:val="24"/>
        </w:rPr>
        <w:t xml:space="preserve">If the median plan has a </w:t>
      </w:r>
      <w:r w:rsidR="00B45F95">
        <w:rPr>
          <w:rFonts w:ascii="Times New Roman" w:hAnsi="Times New Roman" w:cs="Times New Roman"/>
          <w:sz w:val="24"/>
          <w:szCs w:val="24"/>
        </w:rPr>
        <w:t xml:space="preserve">covered </w:t>
      </w:r>
      <w:r w:rsidR="005D3A43">
        <w:rPr>
          <w:rFonts w:ascii="Times New Roman" w:hAnsi="Times New Roman" w:cs="Times New Roman"/>
          <w:sz w:val="24"/>
          <w:szCs w:val="24"/>
        </w:rPr>
        <w:t>payroll of $</w:t>
      </w:r>
      <w:r w:rsidR="007C58A6">
        <w:rPr>
          <w:rFonts w:ascii="Times New Roman" w:hAnsi="Times New Roman" w:cs="Times New Roman"/>
          <w:sz w:val="24"/>
          <w:szCs w:val="24"/>
        </w:rPr>
        <w:t>2.4 billion</w:t>
      </w:r>
      <w:r w:rsidR="00B45F95">
        <w:rPr>
          <w:rFonts w:ascii="Times New Roman" w:hAnsi="Times New Roman" w:cs="Times New Roman"/>
          <w:sz w:val="24"/>
          <w:szCs w:val="24"/>
        </w:rPr>
        <w:t xml:space="preserve"> (the median </w:t>
      </w:r>
      <w:r w:rsidR="003B2D5E">
        <w:rPr>
          <w:rFonts w:ascii="Times New Roman" w:hAnsi="Times New Roman" w:cs="Times New Roman"/>
          <w:sz w:val="24"/>
          <w:szCs w:val="24"/>
        </w:rPr>
        <w:t xml:space="preserve">annual </w:t>
      </w:r>
      <w:r w:rsidR="00B45F95">
        <w:rPr>
          <w:rFonts w:ascii="Times New Roman" w:hAnsi="Times New Roman" w:cs="Times New Roman"/>
          <w:sz w:val="24"/>
          <w:szCs w:val="24"/>
        </w:rPr>
        <w:t>payroll in the PPD</w:t>
      </w:r>
      <w:r w:rsidR="00240E26">
        <w:rPr>
          <w:rFonts w:ascii="Times New Roman" w:hAnsi="Times New Roman" w:cs="Times New Roman"/>
          <w:sz w:val="24"/>
          <w:szCs w:val="24"/>
        </w:rPr>
        <w:t xml:space="preserve"> and </w:t>
      </w:r>
      <w:r w:rsidR="00636AC7">
        <w:rPr>
          <w:rFonts w:ascii="Times New Roman" w:hAnsi="Times New Roman" w:cs="Times New Roman"/>
          <w:sz w:val="24"/>
          <w:szCs w:val="24"/>
        </w:rPr>
        <w:t>size that is similar to the annual covered payroll of the Georgia Employee Retirement System, the New Mexico Teachers System, and the New Hampshire Retirement System</w:t>
      </w:r>
      <w:r w:rsidR="00B45F95">
        <w:rPr>
          <w:rFonts w:ascii="Times New Roman" w:hAnsi="Times New Roman" w:cs="Times New Roman"/>
          <w:sz w:val="24"/>
          <w:szCs w:val="24"/>
        </w:rPr>
        <w:t>)</w:t>
      </w:r>
      <w:r w:rsidR="005D3A43">
        <w:rPr>
          <w:rFonts w:ascii="Times New Roman" w:hAnsi="Times New Roman" w:cs="Times New Roman"/>
          <w:sz w:val="24"/>
          <w:szCs w:val="24"/>
        </w:rPr>
        <w:t xml:space="preserve">, its annual contribution </w:t>
      </w:r>
      <w:r w:rsidR="000C2B3F">
        <w:rPr>
          <w:rFonts w:ascii="Times New Roman" w:hAnsi="Times New Roman" w:cs="Times New Roman"/>
          <w:sz w:val="24"/>
          <w:szCs w:val="24"/>
        </w:rPr>
        <w:t>at</w:t>
      </w:r>
      <w:r w:rsidR="005D3A43">
        <w:rPr>
          <w:rFonts w:ascii="Times New Roman" w:hAnsi="Times New Roman" w:cs="Times New Roman"/>
          <w:sz w:val="24"/>
          <w:szCs w:val="24"/>
        </w:rPr>
        <w:t xml:space="preserve"> a 6</w:t>
      </w:r>
      <w:r w:rsidR="00367036">
        <w:rPr>
          <w:rFonts w:ascii="Times New Roman" w:hAnsi="Times New Roman" w:cs="Times New Roman"/>
          <w:sz w:val="24"/>
          <w:szCs w:val="24"/>
        </w:rPr>
        <w:t xml:space="preserve"> percent</w:t>
      </w:r>
      <w:r w:rsidR="005D3A43">
        <w:rPr>
          <w:rFonts w:ascii="Times New Roman" w:hAnsi="Times New Roman" w:cs="Times New Roman"/>
          <w:sz w:val="24"/>
          <w:szCs w:val="24"/>
        </w:rPr>
        <w:t xml:space="preserve"> discount rate is </w:t>
      </w:r>
      <w:r w:rsidR="007C58A6">
        <w:rPr>
          <w:rFonts w:ascii="Times New Roman" w:hAnsi="Times New Roman" w:cs="Times New Roman"/>
          <w:sz w:val="24"/>
          <w:szCs w:val="24"/>
        </w:rPr>
        <w:t xml:space="preserve">about </w:t>
      </w:r>
      <w:r w:rsidR="005D3A43">
        <w:rPr>
          <w:rFonts w:ascii="Times New Roman" w:hAnsi="Times New Roman" w:cs="Times New Roman"/>
          <w:sz w:val="24"/>
          <w:szCs w:val="24"/>
        </w:rPr>
        <w:t>$</w:t>
      </w:r>
      <w:r w:rsidR="007C58A6">
        <w:rPr>
          <w:rFonts w:ascii="Times New Roman" w:hAnsi="Times New Roman" w:cs="Times New Roman"/>
          <w:sz w:val="24"/>
          <w:szCs w:val="24"/>
        </w:rPr>
        <w:t>864 million</w:t>
      </w:r>
      <w:r w:rsidR="005D3A43">
        <w:rPr>
          <w:rFonts w:ascii="Times New Roman" w:hAnsi="Times New Roman" w:cs="Times New Roman"/>
          <w:sz w:val="24"/>
          <w:szCs w:val="24"/>
        </w:rPr>
        <w:t xml:space="preserve">, at </w:t>
      </w:r>
      <w:r w:rsidR="000C2B3F">
        <w:rPr>
          <w:rFonts w:ascii="Times New Roman" w:hAnsi="Times New Roman" w:cs="Times New Roman"/>
          <w:sz w:val="24"/>
          <w:szCs w:val="24"/>
        </w:rPr>
        <w:t xml:space="preserve">an </w:t>
      </w:r>
      <w:r w:rsidR="005D3A43">
        <w:rPr>
          <w:rFonts w:ascii="Times New Roman" w:hAnsi="Times New Roman" w:cs="Times New Roman"/>
          <w:sz w:val="24"/>
          <w:szCs w:val="24"/>
        </w:rPr>
        <w:t>8</w:t>
      </w:r>
      <w:r w:rsidR="00367036">
        <w:rPr>
          <w:rFonts w:ascii="Times New Roman" w:hAnsi="Times New Roman" w:cs="Times New Roman"/>
          <w:sz w:val="24"/>
          <w:szCs w:val="24"/>
        </w:rPr>
        <w:t xml:space="preserve"> percent</w:t>
      </w:r>
      <w:r w:rsidR="000C2B3F">
        <w:rPr>
          <w:rFonts w:ascii="Times New Roman" w:hAnsi="Times New Roman" w:cs="Times New Roman"/>
          <w:sz w:val="24"/>
          <w:szCs w:val="24"/>
        </w:rPr>
        <w:t xml:space="preserve"> discount rate</w:t>
      </w:r>
      <w:r w:rsidR="005D3A43">
        <w:rPr>
          <w:rFonts w:ascii="Times New Roman" w:hAnsi="Times New Roman" w:cs="Times New Roman"/>
          <w:sz w:val="24"/>
          <w:szCs w:val="24"/>
        </w:rPr>
        <w:t xml:space="preserve"> it is </w:t>
      </w:r>
      <w:r w:rsidR="007C58A6">
        <w:rPr>
          <w:rFonts w:ascii="Times New Roman" w:hAnsi="Times New Roman" w:cs="Times New Roman"/>
          <w:sz w:val="24"/>
          <w:szCs w:val="24"/>
        </w:rPr>
        <w:t xml:space="preserve">about </w:t>
      </w:r>
      <w:r w:rsidR="005D3A43">
        <w:rPr>
          <w:rFonts w:ascii="Times New Roman" w:hAnsi="Times New Roman" w:cs="Times New Roman"/>
          <w:sz w:val="24"/>
          <w:szCs w:val="24"/>
        </w:rPr>
        <w:t>$</w:t>
      </w:r>
      <w:r w:rsidR="007C58A6">
        <w:rPr>
          <w:rFonts w:ascii="Times New Roman" w:hAnsi="Times New Roman" w:cs="Times New Roman"/>
          <w:sz w:val="24"/>
          <w:szCs w:val="24"/>
        </w:rPr>
        <w:t>445 million</w:t>
      </w:r>
      <w:r w:rsidR="005D3A43">
        <w:rPr>
          <w:rFonts w:ascii="Times New Roman" w:hAnsi="Times New Roman" w:cs="Times New Roman"/>
          <w:sz w:val="24"/>
          <w:szCs w:val="24"/>
        </w:rPr>
        <w:t>, and at 8.75</w:t>
      </w:r>
      <w:r w:rsidR="00367036">
        <w:rPr>
          <w:rFonts w:ascii="Times New Roman" w:hAnsi="Times New Roman" w:cs="Times New Roman"/>
          <w:sz w:val="24"/>
          <w:szCs w:val="24"/>
        </w:rPr>
        <w:t xml:space="preserve"> percent</w:t>
      </w:r>
      <w:r w:rsidR="005D3A43">
        <w:rPr>
          <w:rFonts w:ascii="Times New Roman" w:hAnsi="Times New Roman" w:cs="Times New Roman"/>
          <w:sz w:val="24"/>
          <w:szCs w:val="24"/>
        </w:rPr>
        <w:t xml:space="preserve"> it is </w:t>
      </w:r>
      <w:r w:rsidR="007C58A6">
        <w:rPr>
          <w:rFonts w:ascii="Times New Roman" w:hAnsi="Times New Roman" w:cs="Times New Roman"/>
          <w:sz w:val="24"/>
          <w:szCs w:val="24"/>
        </w:rPr>
        <w:t xml:space="preserve">about </w:t>
      </w:r>
      <w:r w:rsidR="005D3A43">
        <w:rPr>
          <w:rFonts w:ascii="Times New Roman" w:hAnsi="Times New Roman" w:cs="Times New Roman"/>
          <w:sz w:val="24"/>
          <w:szCs w:val="24"/>
        </w:rPr>
        <w:t>$</w:t>
      </w:r>
      <w:r w:rsidR="007C58A6">
        <w:rPr>
          <w:rFonts w:ascii="Times New Roman" w:hAnsi="Times New Roman" w:cs="Times New Roman"/>
          <w:sz w:val="24"/>
          <w:szCs w:val="24"/>
        </w:rPr>
        <w:t>300 million</w:t>
      </w:r>
      <w:r w:rsidR="005D3A43">
        <w:rPr>
          <w:rFonts w:ascii="Times New Roman" w:hAnsi="Times New Roman" w:cs="Times New Roman"/>
          <w:sz w:val="24"/>
          <w:szCs w:val="24"/>
        </w:rPr>
        <w:t>. This show</w:t>
      </w:r>
      <w:r w:rsidR="00B45F95">
        <w:rPr>
          <w:rFonts w:ascii="Times New Roman" w:hAnsi="Times New Roman" w:cs="Times New Roman"/>
          <w:sz w:val="24"/>
          <w:szCs w:val="24"/>
        </w:rPr>
        <w:t>s the significant incentive for plan sponsors to select and keep a high discount rate.</w:t>
      </w:r>
      <w:r w:rsidR="007C58A6">
        <w:rPr>
          <w:rFonts w:ascii="Times New Roman" w:hAnsi="Times New Roman" w:cs="Times New Roman"/>
          <w:sz w:val="24"/>
          <w:szCs w:val="24"/>
        </w:rPr>
        <w:t xml:space="preserve"> It also shows why plan sponsors </w:t>
      </w:r>
      <w:r w:rsidR="003B2D5E">
        <w:rPr>
          <w:rFonts w:ascii="Times New Roman" w:hAnsi="Times New Roman" w:cs="Times New Roman"/>
          <w:sz w:val="24"/>
          <w:szCs w:val="24"/>
        </w:rPr>
        <w:t xml:space="preserve">often </w:t>
      </w:r>
      <w:r w:rsidR="000C2B3F">
        <w:rPr>
          <w:rFonts w:ascii="Times New Roman" w:hAnsi="Times New Roman" w:cs="Times New Roman"/>
          <w:sz w:val="24"/>
          <w:szCs w:val="24"/>
        </w:rPr>
        <w:t>push back on</w:t>
      </w:r>
      <w:r w:rsidR="007C58A6">
        <w:rPr>
          <w:rFonts w:ascii="Times New Roman" w:hAnsi="Times New Roman" w:cs="Times New Roman"/>
          <w:sz w:val="24"/>
          <w:szCs w:val="24"/>
        </w:rPr>
        <w:t xml:space="preserve"> efforts to adopt </w:t>
      </w:r>
      <w:r w:rsidR="003B2D5E">
        <w:rPr>
          <w:rFonts w:ascii="Times New Roman" w:hAnsi="Times New Roman" w:cs="Times New Roman"/>
          <w:sz w:val="24"/>
          <w:szCs w:val="24"/>
        </w:rPr>
        <w:t xml:space="preserve">so-called </w:t>
      </w:r>
      <w:r w:rsidR="007C58A6">
        <w:rPr>
          <w:rFonts w:ascii="Times New Roman" w:hAnsi="Times New Roman" w:cs="Times New Roman"/>
          <w:sz w:val="24"/>
          <w:szCs w:val="24"/>
        </w:rPr>
        <w:t>riskless rates of return</w:t>
      </w:r>
      <w:r w:rsidR="003B2D5E">
        <w:rPr>
          <w:rFonts w:ascii="Times New Roman" w:hAnsi="Times New Roman" w:cs="Times New Roman"/>
          <w:sz w:val="24"/>
          <w:szCs w:val="24"/>
        </w:rPr>
        <w:t xml:space="preserve"> to preserve budget resources. </w:t>
      </w:r>
      <w:r w:rsidR="007C58A6">
        <w:rPr>
          <w:rFonts w:ascii="Times New Roman" w:hAnsi="Times New Roman" w:cs="Times New Roman"/>
          <w:sz w:val="24"/>
          <w:szCs w:val="24"/>
        </w:rPr>
        <w:t xml:space="preserve"> </w:t>
      </w:r>
      <w:r w:rsidR="00B45F95">
        <w:rPr>
          <w:rFonts w:ascii="Times New Roman" w:hAnsi="Times New Roman" w:cs="Times New Roman"/>
          <w:sz w:val="24"/>
          <w:szCs w:val="24"/>
        </w:rPr>
        <w:t xml:space="preserve"> </w:t>
      </w:r>
    </w:p>
    <w:p w14:paraId="3E9218FF" w14:textId="770C9E92" w:rsidR="002D2830" w:rsidRDefault="002D2830" w:rsidP="002D2830">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7C58A6">
        <w:rPr>
          <w:rFonts w:ascii="Times New Roman" w:hAnsi="Times New Roman" w:cs="Times New Roman"/>
          <w:sz w:val="24"/>
          <w:szCs w:val="24"/>
        </w:rPr>
        <w:t>T</w:t>
      </w:r>
      <w:r w:rsidR="00536394">
        <w:rPr>
          <w:rFonts w:ascii="Times New Roman" w:hAnsi="Times New Roman" w:cs="Times New Roman"/>
          <w:sz w:val="24"/>
          <w:szCs w:val="24"/>
        </w:rPr>
        <w:t>he</w:t>
      </w:r>
      <w:r w:rsidR="00536394" w:rsidRPr="00536394">
        <w:rPr>
          <w:rFonts w:ascii="Times New Roman" w:hAnsi="Times New Roman" w:cs="Times New Roman"/>
          <w:sz w:val="24"/>
          <w:szCs w:val="24"/>
        </w:rPr>
        <w:t xml:space="preserve"> influence of the discount rate </w:t>
      </w:r>
      <w:r w:rsidR="007C58A6">
        <w:rPr>
          <w:rFonts w:ascii="Times New Roman" w:hAnsi="Times New Roman" w:cs="Times New Roman"/>
          <w:sz w:val="24"/>
          <w:szCs w:val="24"/>
        </w:rPr>
        <w:t xml:space="preserve">is also affected by a plan's </w:t>
      </w:r>
      <w:r w:rsidR="00536394" w:rsidRPr="00536394">
        <w:rPr>
          <w:rFonts w:ascii="Times New Roman" w:hAnsi="Times New Roman" w:cs="Times New Roman"/>
          <w:sz w:val="24"/>
          <w:szCs w:val="24"/>
        </w:rPr>
        <w:t>age structure and</w:t>
      </w:r>
      <w:r w:rsidR="007C58A6">
        <w:rPr>
          <w:rFonts w:ascii="Times New Roman" w:hAnsi="Times New Roman" w:cs="Times New Roman"/>
          <w:sz w:val="24"/>
          <w:szCs w:val="24"/>
        </w:rPr>
        <w:t xml:space="preserve"> its</w:t>
      </w:r>
      <w:r w:rsidR="00536394" w:rsidRPr="00536394">
        <w:rPr>
          <w:rFonts w:ascii="Times New Roman" w:hAnsi="Times New Roman" w:cs="Times New Roman"/>
          <w:sz w:val="24"/>
          <w:szCs w:val="24"/>
        </w:rPr>
        <w:t xml:space="preserve"> asset </w:t>
      </w:r>
      <w:r w:rsidR="00E570D8">
        <w:rPr>
          <w:rFonts w:ascii="Times New Roman" w:hAnsi="Times New Roman" w:cs="Times New Roman"/>
          <w:sz w:val="24"/>
          <w:szCs w:val="24"/>
        </w:rPr>
        <w:t>levels</w:t>
      </w:r>
      <w:r w:rsidR="00706747">
        <w:rPr>
          <w:rFonts w:ascii="Times New Roman" w:hAnsi="Times New Roman" w:cs="Times New Roman"/>
          <w:sz w:val="24"/>
          <w:szCs w:val="24"/>
        </w:rPr>
        <w:t>, as shown in columns 2-5</w:t>
      </w:r>
      <w:r w:rsidR="00536394">
        <w:rPr>
          <w:rFonts w:ascii="Times New Roman" w:hAnsi="Times New Roman" w:cs="Times New Roman"/>
          <w:sz w:val="24"/>
          <w:szCs w:val="24"/>
        </w:rPr>
        <w:t xml:space="preserve">. </w:t>
      </w:r>
    </w:p>
    <w:p w14:paraId="75F17C8F" w14:textId="6E9465C3" w:rsidR="002D2830" w:rsidRDefault="002D2830" w:rsidP="002D2830">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536394">
        <w:rPr>
          <w:rFonts w:ascii="Times New Roman" w:hAnsi="Times New Roman" w:cs="Times New Roman"/>
          <w:sz w:val="24"/>
          <w:szCs w:val="24"/>
        </w:rPr>
        <w:t>T</w:t>
      </w:r>
      <w:r w:rsidR="005B1C63">
        <w:rPr>
          <w:rFonts w:ascii="Times New Roman" w:hAnsi="Times New Roman" w:cs="Times New Roman"/>
          <w:sz w:val="24"/>
          <w:szCs w:val="24"/>
        </w:rPr>
        <w:t xml:space="preserve">he discount rate </w:t>
      </w:r>
      <w:r w:rsidR="00536394">
        <w:rPr>
          <w:rFonts w:ascii="Times New Roman" w:hAnsi="Times New Roman" w:cs="Times New Roman"/>
          <w:sz w:val="24"/>
          <w:szCs w:val="24"/>
        </w:rPr>
        <w:t>has</w:t>
      </w:r>
      <w:r w:rsidR="005B1C63">
        <w:rPr>
          <w:rFonts w:ascii="Times New Roman" w:hAnsi="Times New Roman" w:cs="Times New Roman"/>
          <w:sz w:val="24"/>
          <w:szCs w:val="24"/>
        </w:rPr>
        <w:t xml:space="preserve"> </w:t>
      </w:r>
      <w:r>
        <w:rPr>
          <w:rFonts w:ascii="Times New Roman" w:hAnsi="Times New Roman" w:cs="Times New Roman"/>
          <w:sz w:val="24"/>
          <w:szCs w:val="24"/>
        </w:rPr>
        <w:t xml:space="preserve">a larger </w:t>
      </w:r>
      <w:r w:rsidR="00536394">
        <w:rPr>
          <w:rFonts w:ascii="Times New Roman" w:hAnsi="Times New Roman" w:cs="Times New Roman"/>
          <w:sz w:val="24"/>
          <w:szCs w:val="24"/>
        </w:rPr>
        <w:t xml:space="preserve">effect </w:t>
      </w:r>
      <w:r w:rsidR="005B1C63">
        <w:rPr>
          <w:rFonts w:ascii="Times New Roman" w:hAnsi="Times New Roman" w:cs="Times New Roman"/>
          <w:sz w:val="24"/>
          <w:szCs w:val="24"/>
        </w:rPr>
        <w:t xml:space="preserve">on </w:t>
      </w:r>
      <w:r w:rsidR="000C2B3F">
        <w:rPr>
          <w:rFonts w:ascii="Times New Roman" w:hAnsi="Times New Roman" w:cs="Times New Roman"/>
          <w:sz w:val="24"/>
          <w:szCs w:val="24"/>
        </w:rPr>
        <w:t>a</w:t>
      </w:r>
      <w:r>
        <w:rPr>
          <w:rFonts w:ascii="Times New Roman" w:hAnsi="Times New Roman" w:cs="Times New Roman"/>
          <w:sz w:val="24"/>
          <w:szCs w:val="24"/>
        </w:rPr>
        <w:t xml:space="preserve"> </w:t>
      </w:r>
      <w:r w:rsidR="005B1C63">
        <w:rPr>
          <w:rFonts w:ascii="Times New Roman" w:hAnsi="Times New Roman" w:cs="Times New Roman"/>
          <w:sz w:val="24"/>
          <w:szCs w:val="24"/>
        </w:rPr>
        <w:t xml:space="preserve">younger plan than </w:t>
      </w:r>
      <w:r w:rsidR="000C2B3F">
        <w:rPr>
          <w:rFonts w:ascii="Times New Roman" w:hAnsi="Times New Roman" w:cs="Times New Roman"/>
          <w:sz w:val="24"/>
          <w:szCs w:val="24"/>
        </w:rPr>
        <w:t>an</w:t>
      </w:r>
      <w:r>
        <w:rPr>
          <w:rFonts w:ascii="Times New Roman" w:hAnsi="Times New Roman" w:cs="Times New Roman"/>
          <w:sz w:val="24"/>
          <w:szCs w:val="24"/>
        </w:rPr>
        <w:t xml:space="preserve"> </w:t>
      </w:r>
      <w:r w:rsidR="005B1C63">
        <w:rPr>
          <w:rFonts w:ascii="Times New Roman" w:hAnsi="Times New Roman" w:cs="Times New Roman"/>
          <w:sz w:val="24"/>
          <w:szCs w:val="24"/>
        </w:rPr>
        <w:t xml:space="preserve">older </w:t>
      </w:r>
      <w:r w:rsidR="00AC0803">
        <w:rPr>
          <w:rFonts w:ascii="Times New Roman" w:hAnsi="Times New Roman" w:cs="Times New Roman"/>
          <w:sz w:val="24"/>
          <w:szCs w:val="24"/>
        </w:rPr>
        <w:t>one</w:t>
      </w:r>
      <w:r w:rsidR="005B1C63">
        <w:rPr>
          <w:rFonts w:ascii="Times New Roman" w:hAnsi="Times New Roman" w:cs="Times New Roman"/>
          <w:sz w:val="24"/>
          <w:szCs w:val="24"/>
        </w:rPr>
        <w:t>.</w:t>
      </w:r>
      <w:r w:rsidR="00536394">
        <w:rPr>
          <w:rFonts w:ascii="Times New Roman" w:hAnsi="Times New Roman" w:cs="Times New Roman"/>
          <w:sz w:val="24"/>
          <w:szCs w:val="24"/>
        </w:rPr>
        <w:t xml:space="preserve"> </w:t>
      </w:r>
      <w:r w:rsidR="005B1C63">
        <w:rPr>
          <w:rFonts w:ascii="Times New Roman" w:hAnsi="Times New Roman" w:cs="Times New Roman"/>
          <w:sz w:val="24"/>
          <w:szCs w:val="24"/>
        </w:rPr>
        <w:t xml:space="preserve">This is because </w:t>
      </w:r>
      <w:r w:rsidR="00536394">
        <w:rPr>
          <w:rFonts w:ascii="Times New Roman" w:hAnsi="Times New Roman" w:cs="Times New Roman"/>
          <w:sz w:val="24"/>
          <w:szCs w:val="24"/>
        </w:rPr>
        <w:t xml:space="preserve">active </w:t>
      </w:r>
      <w:r w:rsidR="00E078FC">
        <w:rPr>
          <w:rFonts w:ascii="Times New Roman" w:hAnsi="Times New Roman" w:cs="Times New Roman"/>
          <w:sz w:val="24"/>
          <w:szCs w:val="24"/>
        </w:rPr>
        <w:t>employees in younger plan</w:t>
      </w:r>
      <w:r w:rsidR="00AD18E2">
        <w:rPr>
          <w:rFonts w:ascii="Times New Roman" w:hAnsi="Times New Roman" w:cs="Times New Roman"/>
          <w:sz w:val="24"/>
          <w:szCs w:val="24"/>
        </w:rPr>
        <w:t>s</w:t>
      </w:r>
      <w:r w:rsidR="00E078FC">
        <w:rPr>
          <w:rFonts w:ascii="Times New Roman" w:hAnsi="Times New Roman" w:cs="Times New Roman"/>
          <w:sz w:val="24"/>
          <w:szCs w:val="24"/>
        </w:rPr>
        <w:t xml:space="preserve"> are furth</w:t>
      </w:r>
      <w:r w:rsidR="001A1B17">
        <w:rPr>
          <w:rFonts w:ascii="Times New Roman" w:hAnsi="Times New Roman" w:cs="Times New Roman"/>
          <w:sz w:val="24"/>
          <w:szCs w:val="24"/>
        </w:rPr>
        <w:t>er away from the</w:t>
      </w:r>
      <w:r w:rsidR="00AC0803">
        <w:rPr>
          <w:rFonts w:ascii="Times New Roman" w:hAnsi="Times New Roman" w:cs="Times New Roman"/>
          <w:sz w:val="24"/>
          <w:szCs w:val="24"/>
        </w:rPr>
        <w:t>ir</w:t>
      </w:r>
      <w:r w:rsidR="001A1B17">
        <w:rPr>
          <w:rFonts w:ascii="Times New Roman" w:hAnsi="Times New Roman" w:cs="Times New Roman"/>
          <w:sz w:val="24"/>
          <w:szCs w:val="24"/>
        </w:rPr>
        <w:t xml:space="preserve"> retirement age</w:t>
      </w:r>
      <w:r w:rsidR="00536394">
        <w:rPr>
          <w:rFonts w:ascii="Times New Roman" w:hAnsi="Times New Roman" w:cs="Times New Roman"/>
          <w:sz w:val="24"/>
          <w:szCs w:val="24"/>
        </w:rPr>
        <w:t xml:space="preserve">. </w:t>
      </w:r>
      <w:r>
        <w:rPr>
          <w:rFonts w:ascii="Times New Roman" w:hAnsi="Times New Roman" w:cs="Times New Roman"/>
          <w:sz w:val="24"/>
          <w:szCs w:val="24"/>
        </w:rPr>
        <w:t xml:space="preserve">The difference </w:t>
      </w:r>
      <w:r w:rsidR="000C2B3F">
        <w:rPr>
          <w:rFonts w:ascii="Times New Roman" w:hAnsi="Times New Roman" w:cs="Times New Roman"/>
          <w:sz w:val="24"/>
          <w:szCs w:val="24"/>
        </w:rPr>
        <w:t xml:space="preserve">between the younger and older plans </w:t>
      </w:r>
      <w:r>
        <w:rPr>
          <w:rFonts w:ascii="Times New Roman" w:hAnsi="Times New Roman" w:cs="Times New Roman"/>
          <w:sz w:val="24"/>
          <w:szCs w:val="24"/>
        </w:rPr>
        <w:t>is small</w:t>
      </w:r>
      <w:r w:rsidR="000C2B3F">
        <w:rPr>
          <w:rFonts w:ascii="Times New Roman" w:hAnsi="Times New Roman" w:cs="Times New Roman"/>
          <w:sz w:val="24"/>
          <w:szCs w:val="24"/>
        </w:rPr>
        <w:t>er when</w:t>
      </w:r>
      <w:r>
        <w:rPr>
          <w:rFonts w:ascii="Times New Roman" w:hAnsi="Times New Roman" w:cs="Times New Roman"/>
          <w:sz w:val="24"/>
          <w:szCs w:val="24"/>
        </w:rPr>
        <w:t xml:space="preserve"> discount rates</w:t>
      </w:r>
      <w:r w:rsidR="000C2B3F">
        <w:rPr>
          <w:rFonts w:ascii="Times New Roman" w:hAnsi="Times New Roman" w:cs="Times New Roman"/>
          <w:sz w:val="24"/>
          <w:szCs w:val="24"/>
        </w:rPr>
        <w:t xml:space="preserve"> are higher. </w:t>
      </w:r>
      <w:r>
        <w:rPr>
          <w:rFonts w:ascii="Times New Roman" w:hAnsi="Times New Roman" w:cs="Times New Roman"/>
          <w:sz w:val="24"/>
          <w:szCs w:val="24"/>
        </w:rPr>
        <w:t>At a 6</w:t>
      </w:r>
      <w:r w:rsidR="00367036">
        <w:rPr>
          <w:rFonts w:ascii="Times New Roman" w:hAnsi="Times New Roman" w:cs="Times New Roman"/>
          <w:sz w:val="24"/>
          <w:szCs w:val="24"/>
        </w:rPr>
        <w:t xml:space="preserve"> percent</w:t>
      </w:r>
      <w:r>
        <w:rPr>
          <w:rFonts w:ascii="Times New Roman" w:hAnsi="Times New Roman" w:cs="Times New Roman"/>
          <w:sz w:val="24"/>
          <w:szCs w:val="24"/>
        </w:rPr>
        <w:t xml:space="preserve"> discount rate, the median plan with a young age distribution has an ARC that is about </w:t>
      </w:r>
      <w:r w:rsidR="00EB0BD2">
        <w:rPr>
          <w:rFonts w:ascii="Times New Roman" w:hAnsi="Times New Roman" w:cs="Times New Roman"/>
          <w:sz w:val="24"/>
          <w:szCs w:val="24"/>
        </w:rPr>
        <w:t>2.26</w:t>
      </w:r>
      <w:r>
        <w:rPr>
          <w:rFonts w:ascii="Times New Roman" w:hAnsi="Times New Roman" w:cs="Times New Roman"/>
          <w:sz w:val="24"/>
          <w:szCs w:val="24"/>
        </w:rPr>
        <w:t xml:space="preserve"> percentage points higher, which </w:t>
      </w:r>
      <w:r w:rsidR="00240E26">
        <w:rPr>
          <w:rFonts w:ascii="Times New Roman" w:hAnsi="Times New Roman" w:cs="Times New Roman"/>
          <w:sz w:val="24"/>
          <w:szCs w:val="24"/>
        </w:rPr>
        <w:t xml:space="preserve">increases the contribution by </w:t>
      </w:r>
      <w:r>
        <w:rPr>
          <w:rFonts w:ascii="Times New Roman" w:hAnsi="Times New Roman" w:cs="Times New Roman"/>
          <w:sz w:val="24"/>
          <w:szCs w:val="24"/>
        </w:rPr>
        <w:t>$54 million</w:t>
      </w:r>
      <w:r w:rsidR="000C2B3F">
        <w:rPr>
          <w:rFonts w:ascii="Times New Roman" w:hAnsi="Times New Roman" w:cs="Times New Roman"/>
          <w:sz w:val="24"/>
          <w:szCs w:val="24"/>
        </w:rPr>
        <w:t xml:space="preserve"> </w:t>
      </w:r>
      <w:r>
        <w:rPr>
          <w:rFonts w:ascii="Times New Roman" w:hAnsi="Times New Roman" w:cs="Times New Roman"/>
          <w:sz w:val="24"/>
          <w:szCs w:val="24"/>
        </w:rPr>
        <w:t xml:space="preserve">for </w:t>
      </w:r>
      <w:r w:rsidR="00240E26">
        <w:rPr>
          <w:rFonts w:ascii="Times New Roman" w:hAnsi="Times New Roman" w:cs="Times New Roman"/>
          <w:sz w:val="24"/>
          <w:szCs w:val="24"/>
        </w:rPr>
        <w:t xml:space="preserve">a </w:t>
      </w:r>
      <w:r>
        <w:rPr>
          <w:rFonts w:ascii="Times New Roman" w:hAnsi="Times New Roman" w:cs="Times New Roman"/>
          <w:sz w:val="24"/>
          <w:szCs w:val="24"/>
        </w:rPr>
        <w:t>plan</w:t>
      </w:r>
      <w:r w:rsidR="003B2D5E">
        <w:rPr>
          <w:rFonts w:ascii="Times New Roman" w:hAnsi="Times New Roman" w:cs="Times New Roman"/>
          <w:sz w:val="24"/>
          <w:szCs w:val="24"/>
        </w:rPr>
        <w:t xml:space="preserve"> with </w:t>
      </w:r>
      <w:r w:rsidR="00240E26">
        <w:rPr>
          <w:rFonts w:ascii="Times New Roman" w:hAnsi="Times New Roman" w:cs="Times New Roman"/>
          <w:sz w:val="24"/>
          <w:szCs w:val="24"/>
        </w:rPr>
        <w:t>a</w:t>
      </w:r>
      <w:r w:rsidR="003B2D5E">
        <w:rPr>
          <w:rFonts w:ascii="Times New Roman" w:hAnsi="Times New Roman" w:cs="Times New Roman"/>
          <w:sz w:val="24"/>
          <w:szCs w:val="24"/>
        </w:rPr>
        <w:t xml:space="preserve"> </w:t>
      </w:r>
      <w:r w:rsidR="000C2B3F">
        <w:rPr>
          <w:rFonts w:ascii="Times New Roman" w:hAnsi="Times New Roman" w:cs="Times New Roman"/>
          <w:sz w:val="24"/>
          <w:szCs w:val="24"/>
        </w:rPr>
        <w:t>median-sized payroll</w:t>
      </w:r>
      <w:r w:rsidR="00240E26">
        <w:rPr>
          <w:rFonts w:ascii="Times New Roman" w:hAnsi="Times New Roman" w:cs="Times New Roman"/>
          <w:sz w:val="24"/>
          <w:szCs w:val="24"/>
        </w:rPr>
        <w:t xml:space="preserve"> ($898 million compared to $844 million)</w:t>
      </w:r>
      <w:r w:rsidR="000C2B3F">
        <w:rPr>
          <w:rFonts w:ascii="Times New Roman" w:hAnsi="Times New Roman" w:cs="Times New Roman"/>
          <w:sz w:val="24"/>
          <w:szCs w:val="24"/>
        </w:rPr>
        <w:t xml:space="preserve">. </w:t>
      </w:r>
      <w:r>
        <w:rPr>
          <w:rFonts w:ascii="Times New Roman" w:hAnsi="Times New Roman" w:cs="Times New Roman"/>
          <w:sz w:val="24"/>
          <w:szCs w:val="24"/>
        </w:rPr>
        <w:t xml:space="preserve">As such, there is a larger incentive for plans with younger employees to select and retain higher discount rates. </w:t>
      </w:r>
    </w:p>
    <w:p w14:paraId="4A3A806A" w14:textId="6F40DB2F" w:rsidR="00DA4FA7" w:rsidRDefault="002D2830" w:rsidP="002D2830">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A</w:t>
      </w:r>
      <w:r w:rsidR="00AC0803">
        <w:rPr>
          <w:rFonts w:ascii="Times New Roman" w:hAnsi="Times New Roman" w:cs="Times New Roman"/>
          <w:sz w:val="24"/>
          <w:szCs w:val="24"/>
        </w:rPr>
        <w:t>lso, t</w:t>
      </w:r>
      <w:r w:rsidR="00536394">
        <w:rPr>
          <w:rFonts w:ascii="Times New Roman" w:hAnsi="Times New Roman" w:cs="Times New Roman"/>
          <w:sz w:val="24"/>
          <w:szCs w:val="24"/>
        </w:rPr>
        <w:t xml:space="preserve">he effect of changes in the discount rate </w:t>
      </w:r>
      <w:r w:rsidR="005B1C63">
        <w:rPr>
          <w:rFonts w:ascii="Times New Roman" w:hAnsi="Times New Roman" w:cs="Times New Roman"/>
          <w:sz w:val="24"/>
          <w:szCs w:val="24"/>
        </w:rPr>
        <w:t xml:space="preserve">is </w:t>
      </w:r>
      <w:r>
        <w:rPr>
          <w:rFonts w:ascii="Times New Roman" w:hAnsi="Times New Roman" w:cs="Times New Roman"/>
          <w:sz w:val="24"/>
          <w:szCs w:val="24"/>
        </w:rPr>
        <w:t>larger</w:t>
      </w:r>
      <w:r w:rsidR="005B1C63">
        <w:rPr>
          <w:rFonts w:ascii="Times New Roman" w:hAnsi="Times New Roman" w:cs="Times New Roman"/>
          <w:sz w:val="24"/>
          <w:szCs w:val="24"/>
        </w:rPr>
        <w:t xml:space="preserve"> on well-funded plan than </w:t>
      </w:r>
      <w:r w:rsidR="000C2B3F">
        <w:rPr>
          <w:rFonts w:ascii="Times New Roman" w:hAnsi="Times New Roman" w:cs="Times New Roman"/>
          <w:sz w:val="24"/>
          <w:szCs w:val="24"/>
        </w:rPr>
        <w:t>on poorly-</w:t>
      </w:r>
      <w:r>
        <w:rPr>
          <w:rFonts w:ascii="Times New Roman" w:hAnsi="Times New Roman" w:cs="Times New Roman"/>
          <w:sz w:val="24"/>
          <w:szCs w:val="24"/>
        </w:rPr>
        <w:t>funded</w:t>
      </w:r>
      <w:r w:rsidR="005B1C63">
        <w:rPr>
          <w:rFonts w:ascii="Times New Roman" w:hAnsi="Times New Roman" w:cs="Times New Roman"/>
          <w:sz w:val="24"/>
          <w:szCs w:val="24"/>
        </w:rPr>
        <w:t xml:space="preserve"> plan</w:t>
      </w:r>
      <w:r w:rsidR="00AC0803">
        <w:rPr>
          <w:rFonts w:ascii="Times New Roman" w:hAnsi="Times New Roman" w:cs="Times New Roman"/>
          <w:sz w:val="24"/>
          <w:szCs w:val="24"/>
        </w:rPr>
        <w:t>s</w:t>
      </w:r>
      <w:r w:rsidR="005B1C63">
        <w:rPr>
          <w:rFonts w:ascii="Times New Roman" w:hAnsi="Times New Roman" w:cs="Times New Roman"/>
          <w:sz w:val="24"/>
          <w:szCs w:val="24"/>
        </w:rPr>
        <w:t>.</w:t>
      </w:r>
      <w:r w:rsidR="00536394">
        <w:rPr>
          <w:rFonts w:ascii="Times New Roman" w:hAnsi="Times New Roman" w:cs="Times New Roman"/>
          <w:sz w:val="24"/>
          <w:szCs w:val="24"/>
        </w:rPr>
        <w:t xml:space="preserve"> </w:t>
      </w:r>
      <w:r w:rsidR="00713404">
        <w:rPr>
          <w:rFonts w:ascii="Times New Roman" w:hAnsi="Times New Roman" w:cs="Times New Roman"/>
          <w:sz w:val="24"/>
          <w:szCs w:val="24"/>
        </w:rPr>
        <w:t xml:space="preserve">If the median plan </w:t>
      </w:r>
      <w:r w:rsidR="00A4017E">
        <w:rPr>
          <w:rFonts w:ascii="Times New Roman" w:hAnsi="Times New Roman" w:cs="Times New Roman"/>
          <w:sz w:val="24"/>
          <w:szCs w:val="24"/>
        </w:rPr>
        <w:t>is</w:t>
      </w:r>
      <w:r w:rsidR="00713404">
        <w:rPr>
          <w:rFonts w:ascii="Times New Roman" w:hAnsi="Times New Roman" w:cs="Times New Roman"/>
          <w:sz w:val="24"/>
          <w:szCs w:val="24"/>
        </w:rPr>
        <w:t xml:space="preserve"> 100</w:t>
      </w:r>
      <w:r w:rsidR="00367036">
        <w:rPr>
          <w:rFonts w:ascii="Times New Roman" w:hAnsi="Times New Roman" w:cs="Times New Roman"/>
          <w:sz w:val="24"/>
          <w:szCs w:val="24"/>
        </w:rPr>
        <w:t xml:space="preserve"> percent</w:t>
      </w:r>
      <w:r w:rsidR="00713404">
        <w:rPr>
          <w:rFonts w:ascii="Times New Roman" w:hAnsi="Times New Roman" w:cs="Times New Roman"/>
          <w:sz w:val="24"/>
          <w:szCs w:val="24"/>
        </w:rPr>
        <w:t xml:space="preserve"> fund</w:t>
      </w:r>
      <w:r w:rsidR="00A4017E">
        <w:rPr>
          <w:rFonts w:ascii="Times New Roman" w:hAnsi="Times New Roman" w:cs="Times New Roman"/>
          <w:sz w:val="24"/>
          <w:szCs w:val="24"/>
        </w:rPr>
        <w:t>ed</w:t>
      </w:r>
      <w:r w:rsidR="00713404">
        <w:rPr>
          <w:rFonts w:ascii="Times New Roman" w:hAnsi="Times New Roman" w:cs="Times New Roman"/>
          <w:sz w:val="24"/>
          <w:szCs w:val="24"/>
        </w:rPr>
        <w:t xml:space="preserve"> with an 8</w:t>
      </w:r>
      <w:r w:rsidR="00367036">
        <w:rPr>
          <w:rFonts w:ascii="Times New Roman" w:hAnsi="Times New Roman" w:cs="Times New Roman"/>
          <w:sz w:val="24"/>
          <w:szCs w:val="24"/>
        </w:rPr>
        <w:t xml:space="preserve"> percent</w:t>
      </w:r>
      <w:r w:rsidR="00713404">
        <w:rPr>
          <w:rFonts w:ascii="Times New Roman" w:hAnsi="Times New Roman" w:cs="Times New Roman"/>
          <w:sz w:val="24"/>
          <w:szCs w:val="24"/>
        </w:rPr>
        <w:t xml:space="preserve"> discount rate and then changes its discount rate to 6</w:t>
      </w:r>
      <w:r w:rsidR="00367036">
        <w:rPr>
          <w:rFonts w:ascii="Times New Roman" w:hAnsi="Times New Roman" w:cs="Times New Roman"/>
          <w:sz w:val="24"/>
          <w:szCs w:val="24"/>
        </w:rPr>
        <w:t xml:space="preserve"> percent</w:t>
      </w:r>
      <w:r w:rsidR="00713404">
        <w:rPr>
          <w:rFonts w:ascii="Times New Roman" w:hAnsi="Times New Roman" w:cs="Times New Roman"/>
          <w:sz w:val="24"/>
          <w:szCs w:val="24"/>
        </w:rPr>
        <w:t>, its funding ratio will decrease by 20.7 percentage points to 79.7</w:t>
      </w:r>
      <w:r w:rsidR="00367036">
        <w:rPr>
          <w:rFonts w:ascii="Times New Roman" w:hAnsi="Times New Roman" w:cs="Times New Roman"/>
          <w:sz w:val="24"/>
          <w:szCs w:val="24"/>
        </w:rPr>
        <w:t xml:space="preserve"> percent</w:t>
      </w:r>
      <w:r w:rsidR="00713404">
        <w:rPr>
          <w:rFonts w:ascii="Times New Roman" w:hAnsi="Times New Roman" w:cs="Times New Roman"/>
          <w:sz w:val="24"/>
          <w:szCs w:val="24"/>
        </w:rPr>
        <w:t xml:space="preserve">. In contrast, if the median plan </w:t>
      </w:r>
      <w:r w:rsidR="00A4017E">
        <w:rPr>
          <w:rFonts w:ascii="Times New Roman" w:hAnsi="Times New Roman" w:cs="Times New Roman"/>
          <w:sz w:val="24"/>
          <w:szCs w:val="24"/>
        </w:rPr>
        <w:t>is</w:t>
      </w:r>
      <w:r w:rsidR="00713404">
        <w:rPr>
          <w:rFonts w:ascii="Times New Roman" w:hAnsi="Times New Roman" w:cs="Times New Roman"/>
          <w:sz w:val="24"/>
          <w:szCs w:val="24"/>
        </w:rPr>
        <w:t xml:space="preserve"> 70</w:t>
      </w:r>
      <w:r w:rsidR="00367036">
        <w:rPr>
          <w:rFonts w:ascii="Times New Roman" w:hAnsi="Times New Roman" w:cs="Times New Roman"/>
          <w:sz w:val="24"/>
          <w:szCs w:val="24"/>
        </w:rPr>
        <w:t xml:space="preserve"> percent</w:t>
      </w:r>
      <w:r w:rsidR="00713404">
        <w:rPr>
          <w:rFonts w:ascii="Times New Roman" w:hAnsi="Times New Roman" w:cs="Times New Roman"/>
          <w:sz w:val="24"/>
          <w:szCs w:val="24"/>
        </w:rPr>
        <w:t xml:space="preserve"> fund</w:t>
      </w:r>
      <w:r w:rsidR="00A4017E">
        <w:rPr>
          <w:rFonts w:ascii="Times New Roman" w:hAnsi="Times New Roman" w:cs="Times New Roman"/>
          <w:sz w:val="24"/>
          <w:szCs w:val="24"/>
        </w:rPr>
        <w:t>ed</w:t>
      </w:r>
      <w:r w:rsidR="00713404">
        <w:rPr>
          <w:rFonts w:ascii="Times New Roman" w:hAnsi="Times New Roman" w:cs="Times New Roman"/>
          <w:sz w:val="24"/>
          <w:szCs w:val="24"/>
        </w:rPr>
        <w:t xml:space="preserve"> with an 8</w:t>
      </w:r>
      <w:r w:rsidR="00367036">
        <w:rPr>
          <w:rFonts w:ascii="Times New Roman" w:hAnsi="Times New Roman" w:cs="Times New Roman"/>
          <w:sz w:val="24"/>
          <w:szCs w:val="24"/>
        </w:rPr>
        <w:t xml:space="preserve"> percent</w:t>
      </w:r>
      <w:r w:rsidR="00713404">
        <w:rPr>
          <w:rFonts w:ascii="Times New Roman" w:hAnsi="Times New Roman" w:cs="Times New Roman"/>
          <w:sz w:val="24"/>
          <w:szCs w:val="24"/>
        </w:rPr>
        <w:t xml:space="preserve"> discount rate and then changes its discount rate to 6</w:t>
      </w:r>
      <w:r w:rsidR="00367036">
        <w:rPr>
          <w:rFonts w:ascii="Times New Roman" w:hAnsi="Times New Roman" w:cs="Times New Roman"/>
          <w:sz w:val="24"/>
          <w:szCs w:val="24"/>
        </w:rPr>
        <w:t xml:space="preserve"> percent</w:t>
      </w:r>
      <w:r w:rsidR="00713404">
        <w:rPr>
          <w:rFonts w:ascii="Times New Roman" w:hAnsi="Times New Roman" w:cs="Times New Roman"/>
          <w:sz w:val="24"/>
          <w:szCs w:val="24"/>
        </w:rPr>
        <w:t>, its funding ratio will decrease by</w:t>
      </w:r>
      <w:r w:rsidR="00A4017E">
        <w:rPr>
          <w:rFonts w:ascii="Times New Roman" w:hAnsi="Times New Roman" w:cs="Times New Roman"/>
          <w:sz w:val="24"/>
          <w:szCs w:val="24"/>
        </w:rPr>
        <w:t xml:space="preserve"> </w:t>
      </w:r>
      <w:r w:rsidR="00A4017E">
        <w:rPr>
          <w:rFonts w:ascii="Times New Roman" w:hAnsi="Times New Roman" w:cs="Times New Roman"/>
          <w:sz w:val="24"/>
          <w:szCs w:val="24"/>
        </w:rPr>
        <w:lastRenderedPageBreak/>
        <w:t>just</w:t>
      </w:r>
      <w:r w:rsidR="00713404">
        <w:rPr>
          <w:rFonts w:ascii="Times New Roman" w:hAnsi="Times New Roman" w:cs="Times New Roman"/>
          <w:sz w:val="24"/>
          <w:szCs w:val="24"/>
        </w:rPr>
        <w:t xml:space="preserve"> 14.49 percentage points to 55.</w:t>
      </w:r>
      <w:r w:rsidR="000306DF">
        <w:rPr>
          <w:rFonts w:ascii="Times New Roman" w:hAnsi="Times New Roman" w:cs="Times New Roman"/>
          <w:sz w:val="24"/>
          <w:szCs w:val="24"/>
        </w:rPr>
        <w:t>5</w:t>
      </w:r>
      <w:r w:rsidR="00713404">
        <w:rPr>
          <w:rFonts w:ascii="Times New Roman" w:hAnsi="Times New Roman" w:cs="Times New Roman"/>
          <w:sz w:val="24"/>
          <w:szCs w:val="24"/>
        </w:rPr>
        <w:t>1</w:t>
      </w:r>
      <w:r w:rsidR="00367036">
        <w:rPr>
          <w:rFonts w:ascii="Times New Roman" w:hAnsi="Times New Roman" w:cs="Times New Roman"/>
          <w:sz w:val="24"/>
          <w:szCs w:val="24"/>
        </w:rPr>
        <w:t xml:space="preserve"> percent</w:t>
      </w:r>
      <w:r w:rsidR="00713404">
        <w:rPr>
          <w:rFonts w:ascii="Times New Roman" w:hAnsi="Times New Roman" w:cs="Times New Roman"/>
          <w:sz w:val="24"/>
          <w:szCs w:val="24"/>
        </w:rPr>
        <w:t xml:space="preserve">. This is because changing the discount rate affects </w:t>
      </w:r>
      <w:r w:rsidR="000C2B3F">
        <w:rPr>
          <w:rFonts w:ascii="Times New Roman" w:hAnsi="Times New Roman" w:cs="Times New Roman"/>
          <w:sz w:val="24"/>
          <w:szCs w:val="24"/>
        </w:rPr>
        <w:t>the</w:t>
      </w:r>
      <w:r w:rsidR="00713404">
        <w:rPr>
          <w:rFonts w:ascii="Times New Roman" w:hAnsi="Times New Roman" w:cs="Times New Roman"/>
          <w:sz w:val="24"/>
          <w:szCs w:val="24"/>
        </w:rPr>
        <w:t xml:space="preserve"> denominator in the funding ratio calculation</w:t>
      </w:r>
      <w:r w:rsidR="00A4017E">
        <w:rPr>
          <w:rFonts w:ascii="Times New Roman" w:hAnsi="Times New Roman" w:cs="Times New Roman"/>
          <w:sz w:val="24"/>
          <w:szCs w:val="24"/>
        </w:rPr>
        <w:t>,</w:t>
      </w:r>
      <w:r w:rsidR="00713404">
        <w:rPr>
          <w:rFonts w:ascii="Times New Roman" w:hAnsi="Times New Roman" w:cs="Times New Roman"/>
          <w:sz w:val="24"/>
          <w:szCs w:val="24"/>
        </w:rPr>
        <w:t xml:space="preserve"> and increasing the denominator has a </w:t>
      </w:r>
      <w:r w:rsidR="000C2B3F">
        <w:rPr>
          <w:rFonts w:ascii="Times New Roman" w:hAnsi="Times New Roman" w:cs="Times New Roman"/>
          <w:sz w:val="24"/>
          <w:szCs w:val="24"/>
        </w:rPr>
        <w:t>bigger</w:t>
      </w:r>
      <w:r w:rsidR="00713404">
        <w:rPr>
          <w:rFonts w:ascii="Times New Roman" w:hAnsi="Times New Roman" w:cs="Times New Roman"/>
          <w:sz w:val="24"/>
          <w:szCs w:val="24"/>
        </w:rPr>
        <w:t xml:space="preserve"> effect when the numerator is larger.</w:t>
      </w:r>
      <w:r w:rsidR="00713404">
        <w:rPr>
          <w:rStyle w:val="FootnoteReference"/>
          <w:rFonts w:ascii="Times New Roman" w:hAnsi="Times New Roman" w:cs="Times New Roman"/>
          <w:sz w:val="24"/>
          <w:szCs w:val="24"/>
        </w:rPr>
        <w:footnoteReference w:id="1"/>
      </w:r>
      <w:r w:rsidR="00713404">
        <w:rPr>
          <w:rFonts w:ascii="Times New Roman" w:hAnsi="Times New Roman" w:cs="Times New Roman"/>
          <w:sz w:val="24"/>
          <w:szCs w:val="24"/>
        </w:rPr>
        <w:t xml:space="preserve"> This </w:t>
      </w:r>
      <w:r w:rsidR="000C2B3F">
        <w:rPr>
          <w:rFonts w:ascii="Times New Roman" w:hAnsi="Times New Roman" w:cs="Times New Roman"/>
          <w:sz w:val="24"/>
          <w:szCs w:val="24"/>
        </w:rPr>
        <w:t>relationship</w:t>
      </w:r>
      <w:r w:rsidR="00713404">
        <w:rPr>
          <w:rFonts w:ascii="Times New Roman" w:hAnsi="Times New Roman" w:cs="Times New Roman"/>
          <w:sz w:val="24"/>
          <w:szCs w:val="24"/>
        </w:rPr>
        <w:t xml:space="preserve"> is also found in the </w:t>
      </w:r>
      <w:r w:rsidR="000C2B3F">
        <w:rPr>
          <w:rFonts w:ascii="Times New Roman" w:hAnsi="Times New Roman" w:cs="Times New Roman"/>
          <w:sz w:val="24"/>
          <w:szCs w:val="24"/>
        </w:rPr>
        <w:t>e</w:t>
      </w:r>
      <w:r w:rsidR="00713404">
        <w:rPr>
          <w:rFonts w:ascii="Times New Roman" w:hAnsi="Times New Roman" w:cs="Times New Roman"/>
          <w:sz w:val="24"/>
          <w:szCs w:val="24"/>
        </w:rPr>
        <w:t>ffect on the ARC. This suggests that well</w:t>
      </w:r>
      <w:r w:rsidR="00A4017E">
        <w:rPr>
          <w:rFonts w:ascii="Times New Roman" w:hAnsi="Times New Roman" w:cs="Times New Roman"/>
          <w:sz w:val="24"/>
          <w:szCs w:val="24"/>
        </w:rPr>
        <w:t>-</w:t>
      </w:r>
      <w:r w:rsidR="00713404">
        <w:rPr>
          <w:rFonts w:ascii="Times New Roman" w:hAnsi="Times New Roman" w:cs="Times New Roman"/>
          <w:sz w:val="24"/>
          <w:szCs w:val="24"/>
        </w:rPr>
        <w:t>funded plans actually have more to lose by reducing their discount rate</w:t>
      </w:r>
      <w:r w:rsidR="00A4017E">
        <w:rPr>
          <w:rFonts w:ascii="Times New Roman" w:hAnsi="Times New Roman" w:cs="Times New Roman"/>
          <w:sz w:val="24"/>
          <w:szCs w:val="24"/>
        </w:rPr>
        <w:t>s</w:t>
      </w:r>
      <w:r w:rsidR="00713404">
        <w:rPr>
          <w:rFonts w:ascii="Times New Roman" w:hAnsi="Times New Roman" w:cs="Times New Roman"/>
          <w:sz w:val="24"/>
          <w:szCs w:val="24"/>
        </w:rPr>
        <w:t>. It also suggests that there is a greater incentive to increase the discount rate by p</w:t>
      </w:r>
      <w:r w:rsidR="00E452E8">
        <w:rPr>
          <w:rFonts w:ascii="Times New Roman" w:hAnsi="Times New Roman" w:cs="Times New Roman"/>
          <w:sz w:val="24"/>
          <w:szCs w:val="24"/>
        </w:rPr>
        <w:t xml:space="preserve">lans that are relatively better </w:t>
      </w:r>
      <w:r w:rsidR="00713404">
        <w:rPr>
          <w:rFonts w:ascii="Times New Roman" w:hAnsi="Times New Roman" w:cs="Times New Roman"/>
          <w:sz w:val="24"/>
          <w:szCs w:val="24"/>
        </w:rPr>
        <w:t>funded.</w:t>
      </w:r>
      <w:r w:rsidR="00E452E8">
        <w:rPr>
          <w:rFonts w:ascii="Times New Roman" w:hAnsi="Times New Roman" w:cs="Times New Roman"/>
          <w:sz w:val="24"/>
          <w:szCs w:val="24"/>
        </w:rPr>
        <w:t xml:space="preserve"> </w:t>
      </w:r>
    </w:p>
    <w:p w14:paraId="1CED3211" w14:textId="4BC6C3BD" w:rsidR="00A17F89" w:rsidRDefault="001F573B" w:rsidP="00663DD8">
      <w:pPr>
        <w:spacing w:after="0" w:line="480" w:lineRule="auto"/>
        <w:contextualSpacing/>
        <w:rPr>
          <w:rFonts w:ascii="Times New Roman" w:hAnsi="Times New Roman" w:cs="Times New Roman"/>
          <w:b/>
          <w:sz w:val="24"/>
          <w:szCs w:val="24"/>
        </w:rPr>
      </w:pPr>
      <w:r>
        <w:rPr>
          <w:rFonts w:ascii="Times New Roman" w:hAnsi="Times New Roman" w:cs="Times New Roman"/>
          <w:b/>
          <w:sz w:val="24"/>
          <w:szCs w:val="24"/>
        </w:rPr>
        <w:t xml:space="preserve">Marginal </w:t>
      </w:r>
      <w:r w:rsidR="00BD702E">
        <w:rPr>
          <w:rFonts w:ascii="Times New Roman" w:hAnsi="Times New Roman" w:cs="Times New Roman"/>
          <w:b/>
          <w:sz w:val="24"/>
          <w:szCs w:val="24"/>
        </w:rPr>
        <w:t>Changes in S</w:t>
      </w:r>
      <w:r w:rsidR="00BD702E" w:rsidRPr="00AA237B">
        <w:rPr>
          <w:rFonts w:ascii="Times New Roman" w:hAnsi="Times New Roman" w:cs="Times New Roman"/>
          <w:b/>
          <w:sz w:val="24"/>
          <w:szCs w:val="24"/>
        </w:rPr>
        <w:t>alary Growth Rate</w:t>
      </w:r>
      <w:r w:rsidR="00BD702E">
        <w:rPr>
          <w:rFonts w:ascii="Times New Roman" w:hAnsi="Times New Roman" w:cs="Times New Roman"/>
          <w:b/>
          <w:sz w:val="24"/>
          <w:szCs w:val="24"/>
        </w:rPr>
        <w:t xml:space="preserve"> Assumptions</w:t>
      </w:r>
    </w:p>
    <w:p w14:paraId="7E3DA216" w14:textId="4D5B8F5B" w:rsidR="00E8134A" w:rsidRDefault="009522A9" w:rsidP="00654825">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1F573B">
        <w:rPr>
          <w:rFonts w:ascii="Times New Roman" w:hAnsi="Times New Roman" w:cs="Times New Roman"/>
          <w:sz w:val="24"/>
          <w:szCs w:val="24"/>
        </w:rPr>
        <w:t xml:space="preserve">Panel B </w:t>
      </w:r>
      <w:r w:rsidR="00536394">
        <w:rPr>
          <w:rFonts w:ascii="Times New Roman" w:hAnsi="Times New Roman" w:cs="Times New Roman"/>
          <w:sz w:val="24"/>
          <w:szCs w:val="24"/>
        </w:rPr>
        <w:t xml:space="preserve">of </w:t>
      </w:r>
      <w:r w:rsidR="00FD6B93">
        <w:rPr>
          <w:rFonts w:ascii="Times New Roman" w:hAnsi="Times New Roman" w:cs="Times New Roman"/>
          <w:sz w:val="24"/>
          <w:szCs w:val="24"/>
        </w:rPr>
        <w:t>t</w:t>
      </w:r>
      <w:r w:rsidR="00536394">
        <w:rPr>
          <w:rFonts w:ascii="Times New Roman" w:hAnsi="Times New Roman" w:cs="Times New Roman"/>
          <w:sz w:val="24"/>
          <w:szCs w:val="24"/>
        </w:rPr>
        <w:t>ables 4 and 5</w:t>
      </w:r>
      <w:r w:rsidR="001F573B">
        <w:rPr>
          <w:rFonts w:ascii="Times New Roman" w:hAnsi="Times New Roman" w:cs="Times New Roman"/>
          <w:sz w:val="24"/>
          <w:szCs w:val="24"/>
        </w:rPr>
        <w:t xml:space="preserve"> </w:t>
      </w:r>
      <w:r w:rsidR="00A4017E">
        <w:rPr>
          <w:rFonts w:ascii="Times New Roman" w:hAnsi="Times New Roman" w:cs="Times New Roman"/>
          <w:sz w:val="24"/>
          <w:szCs w:val="24"/>
        </w:rPr>
        <w:t>illustrates</w:t>
      </w:r>
      <w:r w:rsidR="00227F77">
        <w:rPr>
          <w:rFonts w:ascii="Times New Roman" w:hAnsi="Times New Roman" w:cs="Times New Roman"/>
          <w:sz w:val="24"/>
          <w:szCs w:val="24"/>
        </w:rPr>
        <w:t xml:space="preserve"> the effect of chang</w:t>
      </w:r>
      <w:r w:rsidR="006E5282">
        <w:rPr>
          <w:rFonts w:ascii="Times New Roman" w:hAnsi="Times New Roman" w:cs="Times New Roman"/>
          <w:sz w:val="24"/>
          <w:szCs w:val="24"/>
        </w:rPr>
        <w:t>ing the</w:t>
      </w:r>
      <w:r w:rsidR="00227F77">
        <w:rPr>
          <w:rFonts w:ascii="Times New Roman" w:hAnsi="Times New Roman" w:cs="Times New Roman"/>
          <w:sz w:val="24"/>
          <w:szCs w:val="24"/>
        </w:rPr>
        <w:t xml:space="preserve"> salary growth rate assumption. </w:t>
      </w:r>
      <w:r w:rsidR="006E5282" w:rsidRPr="00B64A43">
        <w:rPr>
          <w:rFonts w:ascii="Times New Roman" w:hAnsi="Times New Roman" w:cs="Times New Roman"/>
          <w:sz w:val="24"/>
          <w:szCs w:val="24"/>
        </w:rPr>
        <w:t xml:space="preserve">The salary growth rate </w:t>
      </w:r>
      <w:r w:rsidR="006E5282">
        <w:rPr>
          <w:rFonts w:ascii="Times New Roman" w:hAnsi="Times New Roman" w:cs="Times New Roman"/>
          <w:sz w:val="24"/>
          <w:szCs w:val="24"/>
        </w:rPr>
        <w:t>has a larger influence</w:t>
      </w:r>
      <w:r w:rsidR="006E5282" w:rsidRPr="00B64A43">
        <w:rPr>
          <w:rFonts w:ascii="Times New Roman" w:hAnsi="Times New Roman" w:cs="Times New Roman"/>
          <w:sz w:val="24"/>
          <w:szCs w:val="24"/>
        </w:rPr>
        <w:t xml:space="preserve"> on the ARC th</w:t>
      </w:r>
      <w:r w:rsidR="006E5282">
        <w:rPr>
          <w:rFonts w:ascii="Times New Roman" w:hAnsi="Times New Roman" w:cs="Times New Roman"/>
          <w:sz w:val="24"/>
          <w:szCs w:val="24"/>
        </w:rPr>
        <w:t>a</w:t>
      </w:r>
      <w:r w:rsidR="006E5282" w:rsidRPr="00B64A43">
        <w:rPr>
          <w:rFonts w:ascii="Times New Roman" w:hAnsi="Times New Roman" w:cs="Times New Roman"/>
          <w:sz w:val="24"/>
          <w:szCs w:val="24"/>
        </w:rPr>
        <w:t>n the funding ratio.</w:t>
      </w:r>
      <w:r w:rsidR="006E5282">
        <w:rPr>
          <w:rFonts w:ascii="Times New Roman" w:hAnsi="Times New Roman" w:cs="Times New Roman"/>
          <w:sz w:val="24"/>
          <w:szCs w:val="24"/>
        </w:rPr>
        <w:t xml:space="preserve"> Under median conditions, a</w:t>
      </w:r>
      <w:r w:rsidR="00AC0803">
        <w:rPr>
          <w:rFonts w:ascii="Times New Roman" w:hAnsi="Times New Roman" w:cs="Times New Roman"/>
          <w:sz w:val="24"/>
          <w:szCs w:val="24"/>
        </w:rPr>
        <w:t xml:space="preserve"> </w:t>
      </w:r>
      <w:r w:rsidR="0002583D" w:rsidRPr="00B64A43">
        <w:rPr>
          <w:rFonts w:ascii="Times New Roman" w:hAnsi="Times New Roman" w:cs="Times New Roman"/>
          <w:sz w:val="24"/>
          <w:szCs w:val="24"/>
        </w:rPr>
        <w:t>o</w:t>
      </w:r>
      <w:r w:rsidR="00A17F89" w:rsidRPr="00B64A43">
        <w:rPr>
          <w:rFonts w:ascii="Times New Roman" w:hAnsi="Times New Roman" w:cs="Times New Roman"/>
          <w:sz w:val="24"/>
          <w:szCs w:val="24"/>
        </w:rPr>
        <w:t xml:space="preserve">ne percentage </w:t>
      </w:r>
      <w:r w:rsidR="00AC0803">
        <w:rPr>
          <w:rFonts w:ascii="Times New Roman" w:hAnsi="Times New Roman" w:cs="Times New Roman"/>
          <w:sz w:val="24"/>
          <w:szCs w:val="24"/>
        </w:rPr>
        <w:t xml:space="preserve">point </w:t>
      </w:r>
      <w:r w:rsidR="000E4BBB" w:rsidRPr="00B64A43">
        <w:rPr>
          <w:rFonts w:ascii="Times New Roman" w:hAnsi="Times New Roman" w:cs="Times New Roman"/>
          <w:sz w:val="24"/>
          <w:szCs w:val="24"/>
        </w:rPr>
        <w:t xml:space="preserve">increase in </w:t>
      </w:r>
      <w:r w:rsidR="00AC0803">
        <w:rPr>
          <w:rFonts w:ascii="Times New Roman" w:hAnsi="Times New Roman" w:cs="Times New Roman"/>
          <w:sz w:val="24"/>
          <w:szCs w:val="24"/>
        </w:rPr>
        <w:t xml:space="preserve">the </w:t>
      </w:r>
      <w:r w:rsidR="0002583D" w:rsidRPr="00B64A43">
        <w:rPr>
          <w:rFonts w:ascii="Times New Roman" w:hAnsi="Times New Roman" w:cs="Times New Roman"/>
          <w:sz w:val="24"/>
          <w:szCs w:val="24"/>
        </w:rPr>
        <w:t xml:space="preserve">salary growth rate </w:t>
      </w:r>
      <w:r w:rsidR="00851DB5" w:rsidRPr="00B64A43">
        <w:rPr>
          <w:rFonts w:ascii="Times New Roman" w:hAnsi="Times New Roman" w:cs="Times New Roman"/>
          <w:sz w:val="24"/>
          <w:szCs w:val="24"/>
        </w:rPr>
        <w:t xml:space="preserve">reduces the </w:t>
      </w:r>
      <w:r w:rsidR="001F573B">
        <w:rPr>
          <w:rFonts w:ascii="Times New Roman" w:hAnsi="Times New Roman" w:cs="Times New Roman"/>
          <w:sz w:val="24"/>
          <w:szCs w:val="24"/>
        </w:rPr>
        <w:t xml:space="preserve">average </w:t>
      </w:r>
      <w:r w:rsidR="00851DB5" w:rsidRPr="00B64A43">
        <w:rPr>
          <w:rFonts w:ascii="Times New Roman" w:hAnsi="Times New Roman" w:cs="Times New Roman"/>
          <w:sz w:val="24"/>
          <w:szCs w:val="24"/>
        </w:rPr>
        <w:t>funding ratio by 1.6</w:t>
      </w:r>
      <w:r w:rsidR="00536394">
        <w:rPr>
          <w:rFonts w:ascii="Times New Roman" w:hAnsi="Times New Roman" w:cs="Times New Roman"/>
          <w:sz w:val="24"/>
          <w:szCs w:val="24"/>
        </w:rPr>
        <w:t>2</w:t>
      </w:r>
      <w:r w:rsidR="00AC0803">
        <w:rPr>
          <w:rFonts w:ascii="Times New Roman" w:hAnsi="Times New Roman" w:cs="Times New Roman"/>
          <w:sz w:val="24"/>
          <w:szCs w:val="24"/>
        </w:rPr>
        <w:t xml:space="preserve"> percentage point</w:t>
      </w:r>
      <w:r w:rsidR="001F573B">
        <w:rPr>
          <w:rFonts w:ascii="Times New Roman" w:hAnsi="Times New Roman" w:cs="Times New Roman"/>
          <w:sz w:val="24"/>
          <w:szCs w:val="24"/>
        </w:rPr>
        <w:t>s</w:t>
      </w:r>
      <w:r w:rsidR="00536394">
        <w:rPr>
          <w:rFonts w:ascii="Times New Roman" w:hAnsi="Times New Roman" w:cs="Times New Roman"/>
          <w:sz w:val="24"/>
          <w:szCs w:val="24"/>
        </w:rPr>
        <w:t xml:space="preserve"> and</w:t>
      </w:r>
      <w:r w:rsidR="00536394" w:rsidRPr="00536394">
        <w:rPr>
          <w:rFonts w:ascii="Times New Roman" w:hAnsi="Times New Roman" w:cs="Times New Roman"/>
          <w:sz w:val="24"/>
          <w:szCs w:val="24"/>
        </w:rPr>
        <w:t xml:space="preserve"> </w:t>
      </w:r>
      <w:r w:rsidR="001F573B">
        <w:rPr>
          <w:rFonts w:ascii="Times New Roman" w:hAnsi="Times New Roman" w:cs="Times New Roman"/>
          <w:sz w:val="24"/>
          <w:szCs w:val="24"/>
        </w:rPr>
        <w:t>increa</w:t>
      </w:r>
      <w:r w:rsidR="00536394" w:rsidRPr="00B64A43">
        <w:rPr>
          <w:rFonts w:ascii="Times New Roman" w:hAnsi="Times New Roman" w:cs="Times New Roman"/>
          <w:sz w:val="24"/>
          <w:szCs w:val="24"/>
        </w:rPr>
        <w:t>ses the ARC by 5.3</w:t>
      </w:r>
      <w:r w:rsidR="00536394">
        <w:rPr>
          <w:rFonts w:ascii="Times New Roman" w:hAnsi="Times New Roman" w:cs="Times New Roman"/>
          <w:sz w:val="24"/>
          <w:szCs w:val="24"/>
        </w:rPr>
        <w:t>5</w:t>
      </w:r>
      <w:r w:rsidR="00AC0803">
        <w:rPr>
          <w:rFonts w:ascii="Times New Roman" w:hAnsi="Times New Roman" w:cs="Times New Roman"/>
          <w:sz w:val="24"/>
          <w:szCs w:val="24"/>
        </w:rPr>
        <w:t xml:space="preserve"> percent</w:t>
      </w:r>
      <w:r w:rsidR="00227F77">
        <w:rPr>
          <w:rFonts w:ascii="Times New Roman" w:hAnsi="Times New Roman" w:cs="Times New Roman"/>
          <w:sz w:val="24"/>
          <w:szCs w:val="24"/>
        </w:rPr>
        <w:t>age points</w:t>
      </w:r>
      <w:r w:rsidR="006E5282">
        <w:rPr>
          <w:rFonts w:ascii="Times New Roman" w:hAnsi="Times New Roman" w:cs="Times New Roman"/>
          <w:sz w:val="24"/>
          <w:szCs w:val="24"/>
        </w:rPr>
        <w:t>.</w:t>
      </w:r>
      <w:r w:rsidR="00E8134A">
        <w:rPr>
          <w:rFonts w:ascii="Times New Roman" w:hAnsi="Times New Roman" w:cs="Times New Roman"/>
          <w:sz w:val="24"/>
          <w:szCs w:val="24"/>
        </w:rPr>
        <w:t xml:space="preserve"> </w:t>
      </w:r>
    </w:p>
    <w:p w14:paraId="53935236" w14:textId="77777777" w:rsidR="007C189F" w:rsidRDefault="00E8134A" w:rsidP="00033521">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There are several interesting dynamics that affect the policy implications of salary growth rate assumptions. </w:t>
      </w:r>
    </w:p>
    <w:p w14:paraId="2E719FA5" w14:textId="4A8F186C" w:rsidR="007C189F" w:rsidRDefault="007C189F" w:rsidP="00033521">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636AC7">
        <w:rPr>
          <w:rFonts w:ascii="Times New Roman" w:hAnsi="Times New Roman" w:cs="Times New Roman"/>
          <w:sz w:val="24"/>
          <w:szCs w:val="24"/>
        </w:rPr>
        <w:t xml:space="preserve">The first interesting result is that </w:t>
      </w:r>
      <w:r w:rsidR="003216D3">
        <w:rPr>
          <w:rFonts w:ascii="Times New Roman" w:hAnsi="Times New Roman" w:cs="Times New Roman"/>
          <w:sz w:val="24"/>
          <w:szCs w:val="24"/>
        </w:rPr>
        <w:t xml:space="preserve">increasing the salary growth rate assumption </w:t>
      </w:r>
      <w:r w:rsidR="00AA283E">
        <w:rPr>
          <w:rFonts w:ascii="Times New Roman" w:hAnsi="Times New Roman" w:cs="Times New Roman"/>
          <w:sz w:val="24"/>
          <w:szCs w:val="24"/>
        </w:rPr>
        <w:t>has a negative and non-linear effect on t</w:t>
      </w:r>
      <w:r w:rsidR="003216D3">
        <w:rPr>
          <w:rFonts w:ascii="Times New Roman" w:hAnsi="Times New Roman" w:cs="Times New Roman"/>
          <w:sz w:val="24"/>
          <w:szCs w:val="24"/>
        </w:rPr>
        <w:t>he funding ratio</w:t>
      </w:r>
      <w:r w:rsidR="00B64A43">
        <w:rPr>
          <w:rFonts w:ascii="Times New Roman" w:hAnsi="Times New Roman" w:cs="Times New Roman"/>
          <w:sz w:val="24"/>
          <w:szCs w:val="24"/>
        </w:rPr>
        <w:t xml:space="preserve">. </w:t>
      </w:r>
      <w:r w:rsidR="003216D3">
        <w:rPr>
          <w:rFonts w:ascii="Times New Roman" w:hAnsi="Times New Roman" w:cs="Times New Roman"/>
          <w:sz w:val="24"/>
          <w:szCs w:val="24"/>
        </w:rPr>
        <w:t xml:space="preserve">As </w:t>
      </w:r>
      <w:r>
        <w:rPr>
          <w:rFonts w:ascii="Times New Roman" w:hAnsi="Times New Roman" w:cs="Times New Roman"/>
          <w:sz w:val="24"/>
          <w:szCs w:val="24"/>
        </w:rPr>
        <w:t xml:space="preserve">the </w:t>
      </w:r>
      <w:r w:rsidR="003216D3">
        <w:rPr>
          <w:rFonts w:ascii="Times New Roman" w:hAnsi="Times New Roman" w:cs="Times New Roman"/>
          <w:sz w:val="24"/>
          <w:szCs w:val="24"/>
        </w:rPr>
        <w:t xml:space="preserve">salary growth rate </w:t>
      </w:r>
      <w:r>
        <w:rPr>
          <w:rFonts w:ascii="Times New Roman" w:hAnsi="Times New Roman" w:cs="Times New Roman"/>
          <w:sz w:val="24"/>
          <w:szCs w:val="24"/>
        </w:rPr>
        <w:t xml:space="preserve">assumption </w:t>
      </w:r>
      <w:r w:rsidR="003216D3">
        <w:rPr>
          <w:rFonts w:ascii="Times New Roman" w:hAnsi="Times New Roman" w:cs="Times New Roman"/>
          <w:sz w:val="24"/>
          <w:szCs w:val="24"/>
        </w:rPr>
        <w:t>increases to the highest observed levels, funding ratios actually increase for all the condition</w:t>
      </w:r>
      <w:r w:rsidR="00FD6B93">
        <w:rPr>
          <w:rFonts w:ascii="Times New Roman" w:hAnsi="Times New Roman" w:cs="Times New Roman"/>
          <w:sz w:val="24"/>
          <w:szCs w:val="24"/>
        </w:rPr>
        <w:t>s in t</w:t>
      </w:r>
      <w:r w:rsidR="003216D3">
        <w:rPr>
          <w:rFonts w:ascii="Times New Roman" w:hAnsi="Times New Roman" w:cs="Times New Roman"/>
          <w:sz w:val="24"/>
          <w:szCs w:val="24"/>
        </w:rPr>
        <w:t xml:space="preserve">able 4, except </w:t>
      </w:r>
      <w:r w:rsidR="00AA283E">
        <w:rPr>
          <w:rFonts w:ascii="Times New Roman" w:hAnsi="Times New Roman" w:cs="Times New Roman"/>
          <w:sz w:val="24"/>
          <w:szCs w:val="24"/>
        </w:rPr>
        <w:t xml:space="preserve">for </w:t>
      </w:r>
      <w:r w:rsidR="003216D3">
        <w:rPr>
          <w:rFonts w:ascii="Times New Roman" w:hAnsi="Times New Roman" w:cs="Times New Roman"/>
          <w:sz w:val="24"/>
          <w:szCs w:val="24"/>
        </w:rPr>
        <w:t xml:space="preserve">the plan with </w:t>
      </w:r>
      <w:r w:rsidR="00A4017E">
        <w:rPr>
          <w:rFonts w:ascii="Times New Roman" w:hAnsi="Times New Roman" w:cs="Times New Roman"/>
          <w:sz w:val="24"/>
          <w:szCs w:val="24"/>
        </w:rPr>
        <w:t>an older age distribution, and e</w:t>
      </w:r>
      <w:r w:rsidR="003216D3">
        <w:rPr>
          <w:rFonts w:ascii="Times New Roman" w:hAnsi="Times New Roman" w:cs="Times New Roman"/>
          <w:sz w:val="24"/>
          <w:szCs w:val="24"/>
        </w:rPr>
        <w:t xml:space="preserve">ven the older </w:t>
      </w:r>
      <w:r w:rsidR="00A4017E">
        <w:rPr>
          <w:rFonts w:ascii="Times New Roman" w:hAnsi="Times New Roman" w:cs="Times New Roman"/>
          <w:sz w:val="24"/>
          <w:szCs w:val="24"/>
        </w:rPr>
        <w:t xml:space="preserve">plan </w:t>
      </w:r>
      <w:r w:rsidR="003216D3">
        <w:rPr>
          <w:rFonts w:ascii="Times New Roman" w:hAnsi="Times New Roman" w:cs="Times New Roman"/>
          <w:sz w:val="24"/>
          <w:szCs w:val="24"/>
        </w:rPr>
        <w:t>is close to reversing the downward trend at the 8.</w:t>
      </w:r>
      <w:r>
        <w:rPr>
          <w:rFonts w:ascii="Times New Roman" w:hAnsi="Times New Roman" w:cs="Times New Roman"/>
          <w:sz w:val="24"/>
          <w:szCs w:val="24"/>
        </w:rPr>
        <w:t>00</w:t>
      </w:r>
      <w:r w:rsidR="003216D3">
        <w:rPr>
          <w:rFonts w:ascii="Times New Roman" w:hAnsi="Times New Roman" w:cs="Times New Roman"/>
          <w:sz w:val="24"/>
          <w:szCs w:val="24"/>
        </w:rPr>
        <w:t xml:space="preserve"> percent salary growth </w:t>
      </w:r>
      <w:r w:rsidR="00A4017E">
        <w:rPr>
          <w:rFonts w:ascii="Times New Roman" w:hAnsi="Times New Roman" w:cs="Times New Roman"/>
          <w:sz w:val="24"/>
          <w:szCs w:val="24"/>
        </w:rPr>
        <w:t xml:space="preserve">rate </w:t>
      </w:r>
      <w:r w:rsidR="003216D3">
        <w:rPr>
          <w:rFonts w:ascii="Times New Roman" w:hAnsi="Times New Roman" w:cs="Times New Roman"/>
          <w:sz w:val="24"/>
          <w:szCs w:val="24"/>
        </w:rPr>
        <w:t xml:space="preserve">assumption. This quadratic trend is </w:t>
      </w:r>
      <w:r w:rsidR="00033521">
        <w:rPr>
          <w:rFonts w:ascii="Times New Roman" w:hAnsi="Times New Roman" w:cs="Times New Roman"/>
          <w:sz w:val="24"/>
          <w:szCs w:val="24"/>
        </w:rPr>
        <w:t xml:space="preserve">explained by </w:t>
      </w:r>
      <w:r w:rsidR="003216D3">
        <w:rPr>
          <w:rFonts w:ascii="Times New Roman" w:hAnsi="Times New Roman" w:cs="Times New Roman"/>
          <w:sz w:val="24"/>
          <w:szCs w:val="24"/>
        </w:rPr>
        <w:t>the way E</w:t>
      </w:r>
      <w:r w:rsidR="001B2BD8">
        <w:rPr>
          <w:rFonts w:ascii="Times New Roman" w:hAnsi="Times New Roman" w:cs="Times New Roman"/>
          <w:sz w:val="24"/>
          <w:szCs w:val="24"/>
        </w:rPr>
        <w:t xml:space="preserve">AN allocates the normal cost of employees over their entire career and the relatively greater effect that discount rates have on employees who </w:t>
      </w:r>
      <w:r w:rsidR="007B218A">
        <w:rPr>
          <w:rFonts w:ascii="Times New Roman" w:hAnsi="Times New Roman" w:cs="Times New Roman"/>
          <w:sz w:val="24"/>
          <w:szCs w:val="24"/>
        </w:rPr>
        <w:t>are many years</w:t>
      </w:r>
      <w:r w:rsidR="00A4017E">
        <w:rPr>
          <w:rFonts w:ascii="Times New Roman" w:hAnsi="Times New Roman" w:cs="Times New Roman"/>
          <w:sz w:val="24"/>
          <w:szCs w:val="24"/>
        </w:rPr>
        <w:t xml:space="preserve"> away from retirement.</w:t>
      </w:r>
    </w:p>
    <w:p w14:paraId="6298E180" w14:textId="6837B094" w:rsidR="001B2BD8" w:rsidRDefault="007C189F" w:rsidP="00033521">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ab/>
      </w:r>
      <w:r w:rsidR="007B218A">
        <w:rPr>
          <w:rFonts w:ascii="Times New Roman" w:hAnsi="Times New Roman" w:cs="Times New Roman"/>
          <w:sz w:val="24"/>
          <w:szCs w:val="24"/>
        </w:rPr>
        <w:t xml:space="preserve">Figure </w:t>
      </w:r>
      <w:r w:rsidR="002E7EDB">
        <w:rPr>
          <w:rFonts w:ascii="Times New Roman" w:hAnsi="Times New Roman" w:cs="Times New Roman"/>
          <w:sz w:val="24"/>
          <w:szCs w:val="24"/>
        </w:rPr>
        <w:t>3</w:t>
      </w:r>
      <w:r w:rsidR="007B218A">
        <w:rPr>
          <w:rFonts w:ascii="Times New Roman" w:hAnsi="Times New Roman" w:cs="Times New Roman"/>
          <w:sz w:val="24"/>
          <w:szCs w:val="24"/>
        </w:rPr>
        <w:t xml:space="preserve"> illustrates the </w:t>
      </w:r>
      <w:r w:rsidR="00A4017E">
        <w:rPr>
          <w:rFonts w:ascii="Times New Roman" w:hAnsi="Times New Roman" w:cs="Times New Roman"/>
          <w:sz w:val="24"/>
          <w:szCs w:val="24"/>
        </w:rPr>
        <w:t xml:space="preserve">interactive </w:t>
      </w:r>
      <w:r w:rsidR="007B218A">
        <w:rPr>
          <w:rFonts w:ascii="Times New Roman" w:hAnsi="Times New Roman" w:cs="Times New Roman"/>
          <w:sz w:val="24"/>
          <w:szCs w:val="24"/>
        </w:rPr>
        <w:t xml:space="preserve">effect of </w:t>
      </w:r>
      <w:r w:rsidR="00A4017E">
        <w:rPr>
          <w:rFonts w:ascii="Times New Roman" w:hAnsi="Times New Roman" w:cs="Times New Roman"/>
          <w:sz w:val="24"/>
          <w:szCs w:val="24"/>
        </w:rPr>
        <w:t xml:space="preserve">changes to salary growth rates under different cost methods and at a lower discount rate. </w:t>
      </w:r>
      <w:r>
        <w:rPr>
          <w:rFonts w:ascii="Times New Roman" w:hAnsi="Times New Roman" w:cs="Times New Roman"/>
          <w:sz w:val="24"/>
          <w:szCs w:val="24"/>
        </w:rPr>
        <w:t>The line graphs in the top row illustrate the effect of changing the salary growth rate assumption on funding ratios. The top left graphic reflect</w:t>
      </w:r>
      <w:r w:rsidR="00FD6B93">
        <w:rPr>
          <w:rFonts w:ascii="Times New Roman" w:hAnsi="Times New Roman" w:cs="Times New Roman"/>
          <w:sz w:val="24"/>
          <w:szCs w:val="24"/>
        </w:rPr>
        <w:t>s the conditions in Panel B of t</w:t>
      </w:r>
      <w:r>
        <w:rPr>
          <w:rFonts w:ascii="Times New Roman" w:hAnsi="Times New Roman" w:cs="Times New Roman"/>
          <w:sz w:val="24"/>
          <w:szCs w:val="24"/>
        </w:rPr>
        <w:t>able 4. The top middle line graph shows the effects of the salary growth rate assumption under the PUC cost method. The top right graphic illustrates the effects at a lower discount rate (</w:t>
      </w:r>
      <w:r w:rsidR="00A4017E">
        <w:rPr>
          <w:rFonts w:ascii="Times New Roman" w:hAnsi="Times New Roman" w:cs="Times New Roman"/>
          <w:sz w:val="24"/>
          <w:szCs w:val="24"/>
        </w:rPr>
        <w:t>6</w:t>
      </w:r>
      <w:r>
        <w:rPr>
          <w:rFonts w:ascii="Times New Roman" w:hAnsi="Times New Roman" w:cs="Times New Roman"/>
          <w:sz w:val="24"/>
          <w:szCs w:val="24"/>
        </w:rPr>
        <w:t xml:space="preserve"> percent). The bottom row of </w:t>
      </w:r>
      <w:r w:rsidR="00FD6B93">
        <w:rPr>
          <w:rFonts w:ascii="Times New Roman" w:hAnsi="Times New Roman" w:cs="Times New Roman"/>
          <w:sz w:val="24"/>
          <w:szCs w:val="24"/>
        </w:rPr>
        <w:t>f</w:t>
      </w:r>
      <w:r>
        <w:rPr>
          <w:rFonts w:ascii="Times New Roman" w:hAnsi="Times New Roman" w:cs="Times New Roman"/>
          <w:sz w:val="24"/>
          <w:szCs w:val="24"/>
        </w:rPr>
        <w:t xml:space="preserve">igure 3 illustrates the effect of changing the salary growth rate assumption on the ARCs. Increasing the salary growth rate assumption, regardless of cost method or discount rate, leads to higher contribution </w:t>
      </w:r>
      <w:r w:rsidR="00A4017E">
        <w:rPr>
          <w:rFonts w:ascii="Times New Roman" w:hAnsi="Times New Roman" w:cs="Times New Roman"/>
          <w:sz w:val="24"/>
          <w:szCs w:val="24"/>
        </w:rPr>
        <w:t>requirements</w:t>
      </w:r>
      <w:r>
        <w:rPr>
          <w:rFonts w:ascii="Times New Roman" w:hAnsi="Times New Roman" w:cs="Times New Roman"/>
          <w:sz w:val="24"/>
          <w:szCs w:val="24"/>
        </w:rPr>
        <w:t>, though the magnitude of those changes is affected by the cost method and discount rate.</w:t>
      </w:r>
    </w:p>
    <w:p w14:paraId="5B45D80F" w14:textId="487DB6E1" w:rsidR="00033521" w:rsidRDefault="00033521" w:rsidP="00033521">
      <w:pPr>
        <w:spacing w:after="0"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&lt;Figure </w:t>
      </w:r>
      <w:r w:rsidR="002E7EDB">
        <w:rPr>
          <w:rFonts w:ascii="Times New Roman" w:hAnsi="Times New Roman" w:cs="Times New Roman"/>
          <w:sz w:val="24"/>
          <w:szCs w:val="24"/>
        </w:rPr>
        <w:t>3</w:t>
      </w:r>
      <w:r>
        <w:rPr>
          <w:rFonts w:ascii="Times New Roman" w:hAnsi="Times New Roman" w:cs="Times New Roman"/>
          <w:sz w:val="24"/>
          <w:szCs w:val="24"/>
        </w:rPr>
        <w:t>&gt;</w:t>
      </w:r>
    </w:p>
    <w:p w14:paraId="4531B40F" w14:textId="77777777" w:rsidR="00B87B38" w:rsidRDefault="00033521" w:rsidP="00654825">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7B218A">
        <w:rPr>
          <w:rFonts w:ascii="Times New Roman" w:hAnsi="Times New Roman" w:cs="Times New Roman"/>
          <w:sz w:val="24"/>
          <w:szCs w:val="24"/>
        </w:rPr>
        <w:t>Second, plans that are 100</w:t>
      </w:r>
      <w:r w:rsidR="00367036">
        <w:rPr>
          <w:rFonts w:ascii="Times New Roman" w:hAnsi="Times New Roman" w:cs="Times New Roman"/>
          <w:sz w:val="24"/>
          <w:szCs w:val="24"/>
        </w:rPr>
        <w:t xml:space="preserve"> percent</w:t>
      </w:r>
      <w:r w:rsidR="007B218A">
        <w:rPr>
          <w:rFonts w:ascii="Times New Roman" w:hAnsi="Times New Roman" w:cs="Times New Roman"/>
          <w:sz w:val="24"/>
          <w:szCs w:val="24"/>
        </w:rPr>
        <w:t xml:space="preserve"> funded</w:t>
      </w:r>
      <w:r w:rsidR="00A4017E">
        <w:rPr>
          <w:rFonts w:ascii="Times New Roman" w:hAnsi="Times New Roman" w:cs="Times New Roman"/>
          <w:sz w:val="24"/>
          <w:szCs w:val="24"/>
        </w:rPr>
        <w:t>, unsurprisingly,</w:t>
      </w:r>
      <w:r w:rsidR="007B218A">
        <w:rPr>
          <w:rFonts w:ascii="Times New Roman" w:hAnsi="Times New Roman" w:cs="Times New Roman"/>
          <w:sz w:val="24"/>
          <w:szCs w:val="24"/>
        </w:rPr>
        <w:t xml:space="preserve"> pay a lower ARC than those that are 85.74</w:t>
      </w:r>
      <w:r w:rsidR="00367036">
        <w:rPr>
          <w:rFonts w:ascii="Times New Roman" w:hAnsi="Times New Roman" w:cs="Times New Roman"/>
          <w:sz w:val="24"/>
          <w:szCs w:val="24"/>
        </w:rPr>
        <w:t xml:space="preserve"> percent</w:t>
      </w:r>
      <w:r w:rsidR="007B218A">
        <w:rPr>
          <w:rFonts w:ascii="Times New Roman" w:hAnsi="Times New Roman" w:cs="Times New Roman"/>
          <w:sz w:val="24"/>
          <w:szCs w:val="24"/>
        </w:rPr>
        <w:t xml:space="preserve"> </w:t>
      </w:r>
      <w:r w:rsidR="00B87B38">
        <w:rPr>
          <w:rFonts w:ascii="Times New Roman" w:hAnsi="Times New Roman" w:cs="Times New Roman"/>
          <w:sz w:val="24"/>
          <w:szCs w:val="24"/>
        </w:rPr>
        <w:t>funded</w:t>
      </w:r>
      <w:r w:rsidR="007B218A">
        <w:rPr>
          <w:rFonts w:ascii="Times New Roman" w:hAnsi="Times New Roman" w:cs="Times New Roman"/>
          <w:sz w:val="24"/>
          <w:szCs w:val="24"/>
        </w:rPr>
        <w:t xml:space="preserve"> and even </w:t>
      </w:r>
      <w:r w:rsidR="00B87B38">
        <w:rPr>
          <w:rFonts w:ascii="Times New Roman" w:hAnsi="Times New Roman" w:cs="Times New Roman"/>
          <w:sz w:val="24"/>
          <w:szCs w:val="24"/>
        </w:rPr>
        <w:t>lower still</w:t>
      </w:r>
      <w:r w:rsidR="007B218A">
        <w:rPr>
          <w:rFonts w:ascii="Times New Roman" w:hAnsi="Times New Roman" w:cs="Times New Roman"/>
          <w:sz w:val="24"/>
          <w:szCs w:val="24"/>
        </w:rPr>
        <w:t xml:space="preserve"> than those that are 70</w:t>
      </w:r>
      <w:r w:rsidR="00367036">
        <w:rPr>
          <w:rFonts w:ascii="Times New Roman" w:hAnsi="Times New Roman" w:cs="Times New Roman"/>
          <w:sz w:val="24"/>
          <w:szCs w:val="24"/>
        </w:rPr>
        <w:t xml:space="preserve"> percent</w:t>
      </w:r>
      <w:r w:rsidR="007B218A">
        <w:rPr>
          <w:rFonts w:ascii="Times New Roman" w:hAnsi="Times New Roman" w:cs="Times New Roman"/>
          <w:sz w:val="24"/>
          <w:szCs w:val="24"/>
        </w:rPr>
        <w:t xml:space="preserve"> funded. As salary growth assumptions change, the difference between funding levels remains relatively constant</w:t>
      </w:r>
      <w:r w:rsidR="008D6EC8">
        <w:rPr>
          <w:rFonts w:ascii="Times New Roman" w:hAnsi="Times New Roman" w:cs="Times New Roman"/>
          <w:sz w:val="24"/>
          <w:szCs w:val="24"/>
        </w:rPr>
        <w:t xml:space="preserve"> and the differences between ARCs is entirely constant. </w:t>
      </w:r>
      <w:r w:rsidR="00B87B38">
        <w:rPr>
          <w:rFonts w:ascii="Times New Roman" w:hAnsi="Times New Roman" w:cs="Times New Roman"/>
          <w:sz w:val="24"/>
          <w:szCs w:val="24"/>
        </w:rPr>
        <w:t xml:space="preserve">Therefore, there is little difference in the effect of changing salary growth rates on plans with different asset levels. </w:t>
      </w:r>
    </w:p>
    <w:p w14:paraId="6AA20EFE" w14:textId="1E5BF596" w:rsidR="00B64A43" w:rsidRDefault="00B87B38" w:rsidP="00654825">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Third, demographic conditions, however, affect the influence of changing salary growth rate assumptions. </w:t>
      </w:r>
      <w:r w:rsidR="008D6EC8">
        <w:rPr>
          <w:rFonts w:ascii="Times New Roman" w:hAnsi="Times New Roman" w:cs="Times New Roman"/>
          <w:sz w:val="24"/>
          <w:szCs w:val="24"/>
        </w:rPr>
        <w:t xml:space="preserve">The funding ratio for the “young” plan does not change very much within the full range of observed salary </w:t>
      </w:r>
      <w:r>
        <w:rPr>
          <w:rFonts w:ascii="Times New Roman" w:hAnsi="Times New Roman" w:cs="Times New Roman"/>
          <w:sz w:val="24"/>
          <w:szCs w:val="24"/>
        </w:rPr>
        <w:t xml:space="preserve">growth rate </w:t>
      </w:r>
      <w:r w:rsidR="008D6EC8">
        <w:rPr>
          <w:rFonts w:ascii="Times New Roman" w:hAnsi="Times New Roman" w:cs="Times New Roman"/>
          <w:sz w:val="24"/>
          <w:szCs w:val="24"/>
        </w:rPr>
        <w:t>assumptions</w:t>
      </w:r>
      <w:r w:rsidR="00517515">
        <w:rPr>
          <w:rFonts w:ascii="Times New Roman" w:hAnsi="Times New Roman" w:cs="Times New Roman"/>
          <w:sz w:val="24"/>
          <w:szCs w:val="24"/>
        </w:rPr>
        <w:t xml:space="preserve"> under the EAN cost method</w:t>
      </w:r>
      <w:r w:rsidR="008D6EC8">
        <w:rPr>
          <w:rFonts w:ascii="Times New Roman" w:hAnsi="Times New Roman" w:cs="Times New Roman"/>
          <w:sz w:val="24"/>
          <w:szCs w:val="24"/>
        </w:rPr>
        <w:t xml:space="preserve">. </w:t>
      </w:r>
      <w:r>
        <w:rPr>
          <w:rFonts w:ascii="Times New Roman" w:hAnsi="Times New Roman" w:cs="Times New Roman"/>
          <w:sz w:val="24"/>
          <w:szCs w:val="24"/>
        </w:rPr>
        <w:t xml:space="preserve">Figure 3 demonstrates that this is because of the way the EAN method allocates costs. The line graph in the top-center of </w:t>
      </w:r>
      <w:r w:rsidR="00FD6B93">
        <w:rPr>
          <w:rFonts w:ascii="Times New Roman" w:hAnsi="Times New Roman" w:cs="Times New Roman"/>
          <w:sz w:val="24"/>
          <w:szCs w:val="24"/>
        </w:rPr>
        <w:t>f</w:t>
      </w:r>
      <w:r>
        <w:rPr>
          <w:rFonts w:ascii="Times New Roman" w:hAnsi="Times New Roman" w:cs="Times New Roman"/>
          <w:sz w:val="24"/>
          <w:szCs w:val="24"/>
        </w:rPr>
        <w:t xml:space="preserve">igure 3 and the line graph in the top-left are only different in the selection of the cost method. The PUC method presents a clear relationship between the funding ratio and salary growth rate assumption; however, the EAN cost method creates a quadratic relationship </w:t>
      </w:r>
      <w:r>
        <w:rPr>
          <w:rFonts w:ascii="Times New Roman" w:hAnsi="Times New Roman" w:cs="Times New Roman"/>
          <w:sz w:val="24"/>
          <w:szCs w:val="24"/>
        </w:rPr>
        <w:lastRenderedPageBreak/>
        <w:t xml:space="preserve">that is affected by the demographic conditions of the plan. Younger plans appear to have a much better financial condition with higher salary growth rate assumptions. </w:t>
      </w:r>
    </w:p>
    <w:p w14:paraId="3AE1155F" w14:textId="7156BD7A" w:rsidR="008D6EC8" w:rsidRDefault="008D6EC8" w:rsidP="00654825">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B87B38">
        <w:rPr>
          <w:rFonts w:ascii="Times New Roman" w:hAnsi="Times New Roman" w:cs="Times New Roman"/>
          <w:sz w:val="24"/>
          <w:szCs w:val="24"/>
        </w:rPr>
        <w:t>Another interactive effect of demographic conditions is that</w:t>
      </w:r>
      <w:r>
        <w:rPr>
          <w:rFonts w:ascii="Times New Roman" w:hAnsi="Times New Roman" w:cs="Times New Roman"/>
          <w:sz w:val="24"/>
          <w:szCs w:val="24"/>
        </w:rPr>
        <w:t xml:space="preserve"> </w:t>
      </w:r>
      <w:r w:rsidR="007C189F">
        <w:rPr>
          <w:rFonts w:ascii="Times New Roman" w:hAnsi="Times New Roman" w:cs="Times New Roman"/>
          <w:sz w:val="24"/>
          <w:szCs w:val="24"/>
        </w:rPr>
        <w:t>the</w:t>
      </w:r>
      <w:r>
        <w:rPr>
          <w:rFonts w:ascii="Times New Roman" w:hAnsi="Times New Roman" w:cs="Times New Roman"/>
          <w:sz w:val="24"/>
          <w:szCs w:val="24"/>
        </w:rPr>
        <w:t xml:space="preserve"> ARC </w:t>
      </w:r>
      <w:r w:rsidR="007C189F">
        <w:rPr>
          <w:rFonts w:ascii="Times New Roman" w:hAnsi="Times New Roman" w:cs="Times New Roman"/>
          <w:sz w:val="24"/>
          <w:szCs w:val="24"/>
        </w:rPr>
        <w:t xml:space="preserve">for </w:t>
      </w:r>
      <w:r w:rsidR="00B87B38">
        <w:rPr>
          <w:rFonts w:ascii="Times New Roman" w:hAnsi="Times New Roman" w:cs="Times New Roman"/>
          <w:sz w:val="24"/>
          <w:szCs w:val="24"/>
        </w:rPr>
        <w:t xml:space="preserve">the </w:t>
      </w:r>
      <w:r w:rsidR="007C189F">
        <w:rPr>
          <w:rFonts w:ascii="Times New Roman" w:hAnsi="Times New Roman" w:cs="Times New Roman"/>
          <w:sz w:val="24"/>
          <w:szCs w:val="24"/>
        </w:rPr>
        <w:t>older plan</w:t>
      </w:r>
      <w:r w:rsidR="00B87B38">
        <w:rPr>
          <w:rFonts w:ascii="Times New Roman" w:hAnsi="Times New Roman" w:cs="Times New Roman"/>
          <w:sz w:val="24"/>
          <w:szCs w:val="24"/>
        </w:rPr>
        <w:t xml:space="preserve"> increases at a steeper rate than the ARC for the young plan. </w:t>
      </w:r>
      <w:r>
        <w:rPr>
          <w:rFonts w:ascii="Times New Roman" w:hAnsi="Times New Roman" w:cs="Times New Roman"/>
          <w:sz w:val="24"/>
          <w:szCs w:val="24"/>
        </w:rPr>
        <w:t xml:space="preserve">This is because there is less time to discount the effect of the assumed salary increase and because of the larger unfunded liability that is created by allocating the new normal cost over the entire career of employees who are near retirement. This means that plans with a large number of participants that are nearing retirement have a larger incentive to lower their </w:t>
      </w:r>
      <w:r w:rsidR="00252F98">
        <w:rPr>
          <w:rFonts w:ascii="Times New Roman" w:hAnsi="Times New Roman" w:cs="Times New Roman"/>
          <w:sz w:val="24"/>
          <w:szCs w:val="24"/>
        </w:rPr>
        <w:t xml:space="preserve">salary growth rate assumptions. That change may be particularly attractive since </w:t>
      </w:r>
      <w:r w:rsidR="007C189F">
        <w:rPr>
          <w:rFonts w:ascii="Times New Roman" w:hAnsi="Times New Roman" w:cs="Times New Roman"/>
          <w:sz w:val="24"/>
          <w:szCs w:val="24"/>
        </w:rPr>
        <w:t xml:space="preserve">(1) </w:t>
      </w:r>
      <w:r w:rsidR="00252F98">
        <w:rPr>
          <w:rFonts w:ascii="Times New Roman" w:hAnsi="Times New Roman" w:cs="Times New Roman"/>
          <w:sz w:val="24"/>
          <w:szCs w:val="24"/>
        </w:rPr>
        <w:t xml:space="preserve">there is significantly less media attention to salary growth rate assumptions, </w:t>
      </w:r>
      <w:r w:rsidR="007C189F">
        <w:rPr>
          <w:rFonts w:ascii="Times New Roman" w:hAnsi="Times New Roman" w:cs="Times New Roman"/>
          <w:sz w:val="24"/>
          <w:szCs w:val="24"/>
        </w:rPr>
        <w:t xml:space="preserve">(2) </w:t>
      </w:r>
      <w:r w:rsidR="00252F98">
        <w:rPr>
          <w:rFonts w:ascii="Times New Roman" w:hAnsi="Times New Roman" w:cs="Times New Roman"/>
          <w:sz w:val="24"/>
          <w:szCs w:val="24"/>
        </w:rPr>
        <w:t xml:space="preserve">the change is not likely to be noticed in funding ratios (which are often more closely monitored), and </w:t>
      </w:r>
      <w:r w:rsidR="007C189F">
        <w:rPr>
          <w:rFonts w:ascii="Times New Roman" w:hAnsi="Times New Roman" w:cs="Times New Roman"/>
          <w:sz w:val="24"/>
          <w:szCs w:val="24"/>
        </w:rPr>
        <w:t xml:space="preserve">(3) </w:t>
      </w:r>
      <w:r w:rsidR="00252F98">
        <w:rPr>
          <w:rFonts w:ascii="Times New Roman" w:hAnsi="Times New Roman" w:cs="Times New Roman"/>
          <w:sz w:val="24"/>
          <w:szCs w:val="24"/>
        </w:rPr>
        <w:t>the effect on the budgetary cost</w:t>
      </w:r>
      <w:r w:rsidR="007C189F">
        <w:rPr>
          <w:rFonts w:ascii="Times New Roman" w:hAnsi="Times New Roman" w:cs="Times New Roman"/>
          <w:sz w:val="24"/>
          <w:szCs w:val="24"/>
        </w:rPr>
        <w:t>s</w:t>
      </w:r>
      <w:r w:rsidR="00252F98">
        <w:rPr>
          <w:rFonts w:ascii="Times New Roman" w:hAnsi="Times New Roman" w:cs="Times New Roman"/>
          <w:sz w:val="24"/>
          <w:szCs w:val="24"/>
        </w:rPr>
        <w:t xml:space="preserve"> of pension</w:t>
      </w:r>
      <w:r w:rsidR="007C189F">
        <w:rPr>
          <w:rFonts w:ascii="Times New Roman" w:hAnsi="Times New Roman" w:cs="Times New Roman"/>
          <w:sz w:val="24"/>
          <w:szCs w:val="24"/>
        </w:rPr>
        <w:t xml:space="preserve">s is significant. To illustrate, if </w:t>
      </w:r>
      <w:r w:rsidR="00252F98">
        <w:rPr>
          <w:rFonts w:ascii="Times New Roman" w:hAnsi="Times New Roman" w:cs="Times New Roman"/>
          <w:sz w:val="24"/>
          <w:szCs w:val="24"/>
        </w:rPr>
        <w:t>a plan with an older demographic reduc</w:t>
      </w:r>
      <w:r w:rsidR="007C189F">
        <w:rPr>
          <w:rFonts w:ascii="Times New Roman" w:hAnsi="Times New Roman" w:cs="Times New Roman"/>
          <w:sz w:val="24"/>
          <w:szCs w:val="24"/>
        </w:rPr>
        <w:t>es its</w:t>
      </w:r>
      <w:r w:rsidR="00252F98">
        <w:rPr>
          <w:rFonts w:ascii="Times New Roman" w:hAnsi="Times New Roman" w:cs="Times New Roman"/>
          <w:sz w:val="24"/>
          <w:szCs w:val="24"/>
        </w:rPr>
        <w:t xml:space="preserve"> salary growth rate assumption from 6.5 percent to 5 percent</w:t>
      </w:r>
      <w:r w:rsidR="007C189F">
        <w:rPr>
          <w:rFonts w:ascii="Times New Roman" w:hAnsi="Times New Roman" w:cs="Times New Roman"/>
          <w:sz w:val="24"/>
          <w:szCs w:val="24"/>
        </w:rPr>
        <w:t>, it</w:t>
      </w:r>
      <w:r w:rsidR="00252F98">
        <w:rPr>
          <w:rFonts w:ascii="Times New Roman" w:hAnsi="Times New Roman" w:cs="Times New Roman"/>
          <w:sz w:val="24"/>
          <w:szCs w:val="24"/>
        </w:rPr>
        <w:t xml:space="preserve"> decrease</w:t>
      </w:r>
      <w:r w:rsidR="007C189F">
        <w:rPr>
          <w:rFonts w:ascii="Times New Roman" w:hAnsi="Times New Roman" w:cs="Times New Roman"/>
          <w:sz w:val="24"/>
          <w:szCs w:val="24"/>
        </w:rPr>
        <w:t>s</w:t>
      </w:r>
      <w:r w:rsidR="00252F98">
        <w:rPr>
          <w:rFonts w:ascii="Times New Roman" w:hAnsi="Times New Roman" w:cs="Times New Roman"/>
          <w:sz w:val="24"/>
          <w:szCs w:val="24"/>
        </w:rPr>
        <w:t xml:space="preserve"> </w:t>
      </w:r>
      <w:r w:rsidR="007C189F">
        <w:rPr>
          <w:rFonts w:ascii="Times New Roman" w:hAnsi="Times New Roman" w:cs="Times New Roman"/>
          <w:sz w:val="24"/>
          <w:szCs w:val="24"/>
        </w:rPr>
        <w:t>its</w:t>
      </w:r>
      <w:r w:rsidR="00252F98">
        <w:rPr>
          <w:rFonts w:ascii="Times New Roman" w:hAnsi="Times New Roman" w:cs="Times New Roman"/>
          <w:sz w:val="24"/>
          <w:szCs w:val="24"/>
        </w:rPr>
        <w:t xml:space="preserve"> ARC from 23.92 percent to 14.68 percent. With a median payroll ($2.4 billion), that </w:t>
      </w:r>
      <w:r w:rsidR="007C189F">
        <w:rPr>
          <w:rFonts w:ascii="Times New Roman" w:hAnsi="Times New Roman" w:cs="Times New Roman"/>
          <w:sz w:val="24"/>
          <w:szCs w:val="24"/>
        </w:rPr>
        <w:t xml:space="preserve">amounts to </w:t>
      </w:r>
      <w:r w:rsidR="00252F98">
        <w:rPr>
          <w:rFonts w:ascii="Times New Roman" w:hAnsi="Times New Roman" w:cs="Times New Roman"/>
          <w:sz w:val="24"/>
          <w:szCs w:val="24"/>
        </w:rPr>
        <w:t>a budgetary savings of $221.8 million.</w:t>
      </w:r>
    </w:p>
    <w:p w14:paraId="45419020" w14:textId="2B6EB187" w:rsidR="00355622" w:rsidRDefault="00FF14C9" w:rsidP="00663DD8">
      <w:pPr>
        <w:spacing w:after="0" w:line="480" w:lineRule="auto"/>
        <w:contextualSpacing/>
        <w:rPr>
          <w:rFonts w:ascii="Times New Roman" w:hAnsi="Times New Roman" w:cs="Times New Roman"/>
          <w:b/>
          <w:sz w:val="24"/>
          <w:szCs w:val="24"/>
        </w:rPr>
      </w:pPr>
      <w:r>
        <w:rPr>
          <w:rFonts w:ascii="Times New Roman" w:hAnsi="Times New Roman" w:cs="Times New Roman"/>
          <w:b/>
          <w:sz w:val="24"/>
          <w:szCs w:val="24"/>
        </w:rPr>
        <w:t>Actuarial</w:t>
      </w:r>
      <w:r w:rsidR="00355622">
        <w:rPr>
          <w:rFonts w:ascii="Times New Roman" w:hAnsi="Times New Roman" w:cs="Times New Roman"/>
          <w:b/>
          <w:sz w:val="24"/>
          <w:szCs w:val="24"/>
        </w:rPr>
        <w:t xml:space="preserve"> </w:t>
      </w:r>
      <w:r w:rsidR="00BD702E">
        <w:rPr>
          <w:rFonts w:ascii="Times New Roman" w:hAnsi="Times New Roman" w:cs="Times New Roman"/>
          <w:b/>
          <w:sz w:val="24"/>
          <w:szCs w:val="24"/>
        </w:rPr>
        <w:t>Cost Methods</w:t>
      </w:r>
    </w:p>
    <w:p w14:paraId="3A1EFC97" w14:textId="7C32CF1E" w:rsidR="00252F98" w:rsidRDefault="009522A9" w:rsidP="00663DD8">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FF14C9">
        <w:rPr>
          <w:rFonts w:ascii="Times New Roman" w:hAnsi="Times New Roman" w:cs="Times New Roman"/>
          <w:sz w:val="24"/>
          <w:szCs w:val="24"/>
        </w:rPr>
        <w:t>PUC and EAN are the most commonly used actuarial cost methods.</w:t>
      </w:r>
      <w:r w:rsidR="00375023">
        <w:rPr>
          <w:rFonts w:ascii="Times New Roman" w:hAnsi="Times New Roman" w:cs="Times New Roman"/>
          <w:sz w:val="24"/>
          <w:szCs w:val="24"/>
        </w:rPr>
        <w:t xml:space="preserve"> </w:t>
      </w:r>
      <w:r w:rsidR="00FF14C9">
        <w:rPr>
          <w:rFonts w:ascii="Times New Roman" w:hAnsi="Times New Roman" w:cs="Times New Roman"/>
          <w:sz w:val="24"/>
          <w:szCs w:val="24"/>
        </w:rPr>
        <w:t xml:space="preserve"> </w:t>
      </w:r>
      <w:r w:rsidR="007B48F8">
        <w:rPr>
          <w:rFonts w:ascii="Times New Roman" w:hAnsi="Times New Roman" w:cs="Times New Roman"/>
          <w:sz w:val="24"/>
          <w:szCs w:val="24"/>
        </w:rPr>
        <w:t xml:space="preserve">The </w:t>
      </w:r>
      <w:r w:rsidR="0063429A">
        <w:rPr>
          <w:rFonts w:ascii="Times New Roman" w:hAnsi="Times New Roman" w:cs="Times New Roman"/>
          <w:sz w:val="24"/>
          <w:szCs w:val="24"/>
        </w:rPr>
        <w:t xml:space="preserve">decision to choose one or the other </w:t>
      </w:r>
      <w:r w:rsidR="007B48F8">
        <w:rPr>
          <w:rFonts w:ascii="Times New Roman" w:hAnsi="Times New Roman" w:cs="Times New Roman"/>
          <w:sz w:val="24"/>
          <w:szCs w:val="24"/>
        </w:rPr>
        <w:t xml:space="preserve">has </w:t>
      </w:r>
      <w:r w:rsidR="0063429A">
        <w:rPr>
          <w:rFonts w:ascii="Times New Roman" w:hAnsi="Times New Roman" w:cs="Times New Roman"/>
          <w:sz w:val="24"/>
          <w:szCs w:val="24"/>
        </w:rPr>
        <w:t xml:space="preserve">a relatively small marginal </w:t>
      </w:r>
      <w:r w:rsidR="0095134B">
        <w:rPr>
          <w:rFonts w:ascii="Times New Roman" w:hAnsi="Times New Roman" w:cs="Times New Roman"/>
          <w:sz w:val="24"/>
          <w:szCs w:val="24"/>
        </w:rPr>
        <w:t>effect on funding ratios and liabilities</w:t>
      </w:r>
      <w:r w:rsidR="0063429A">
        <w:rPr>
          <w:rFonts w:ascii="Times New Roman" w:hAnsi="Times New Roman" w:cs="Times New Roman"/>
          <w:sz w:val="24"/>
          <w:szCs w:val="24"/>
        </w:rPr>
        <w:t xml:space="preserve"> under median conditions</w:t>
      </w:r>
      <w:r w:rsidR="0095134B">
        <w:rPr>
          <w:rFonts w:ascii="Times New Roman" w:hAnsi="Times New Roman" w:cs="Times New Roman"/>
          <w:sz w:val="24"/>
          <w:szCs w:val="24"/>
        </w:rPr>
        <w:t xml:space="preserve">, especially </w:t>
      </w:r>
      <w:r w:rsidR="0063429A">
        <w:rPr>
          <w:rFonts w:ascii="Times New Roman" w:hAnsi="Times New Roman" w:cs="Times New Roman"/>
          <w:sz w:val="24"/>
          <w:szCs w:val="24"/>
        </w:rPr>
        <w:t>in comparison to</w:t>
      </w:r>
      <w:r w:rsidR="0095134B">
        <w:rPr>
          <w:rFonts w:ascii="Times New Roman" w:hAnsi="Times New Roman" w:cs="Times New Roman"/>
          <w:sz w:val="24"/>
          <w:szCs w:val="24"/>
        </w:rPr>
        <w:t xml:space="preserve"> the </w:t>
      </w:r>
      <w:r w:rsidR="0063429A">
        <w:rPr>
          <w:rFonts w:ascii="Times New Roman" w:hAnsi="Times New Roman" w:cs="Times New Roman"/>
          <w:sz w:val="24"/>
          <w:szCs w:val="24"/>
        </w:rPr>
        <w:t xml:space="preserve">much </w:t>
      </w:r>
      <w:r w:rsidR="0095134B">
        <w:rPr>
          <w:rFonts w:ascii="Times New Roman" w:hAnsi="Times New Roman" w:cs="Times New Roman"/>
          <w:sz w:val="24"/>
          <w:szCs w:val="24"/>
        </w:rPr>
        <w:t>large</w:t>
      </w:r>
      <w:r w:rsidR="0063429A">
        <w:rPr>
          <w:rFonts w:ascii="Times New Roman" w:hAnsi="Times New Roman" w:cs="Times New Roman"/>
          <w:sz w:val="24"/>
          <w:szCs w:val="24"/>
        </w:rPr>
        <w:t>r</w:t>
      </w:r>
      <w:r w:rsidR="0095134B">
        <w:rPr>
          <w:rFonts w:ascii="Times New Roman" w:hAnsi="Times New Roman" w:cs="Times New Roman"/>
          <w:sz w:val="24"/>
          <w:szCs w:val="24"/>
        </w:rPr>
        <w:t xml:space="preserve"> effects from discount rates and salary growth rates. </w:t>
      </w:r>
      <w:r w:rsidR="00CA27A0">
        <w:rPr>
          <w:rFonts w:ascii="Times New Roman" w:hAnsi="Times New Roman" w:cs="Times New Roman"/>
          <w:sz w:val="24"/>
          <w:szCs w:val="24"/>
        </w:rPr>
        <w:t xml:space="preserve">As shown in </w:t>
      </w:r>
      <w:r w:rsidR="00252F98">
        <w:rPr>
          <w:rFonts w:ascii="Times New Roman" w:hAnsi="Times New Roman" w:cs="Times New Roman"/>
          <w:sz w:val="24"/>
          <w:szCs w:val="24"/>
        </w:rPr>
        <w:t xml:space="preserve">Panel C of </w:t>
      </w:r>
      <w:r w:rsidR="00FD6B93">
        <w:rPr>
          <w:rFonts w:ascii="Times New Roman" w:hAnsi="Times New Roman" w:cs="Times New Roman"/>
          <w:sz w:val="24"/>
          <w:szCs w:val="24"/>
        </w:rPr>
        <w:t>t</w:t>
      </w:r>
      <w:r w:rsidR="005137BF">
        <w:rPr>
          <w:rFonts w:ascii="Times New Roman" w:hAnsi="Times New Roman" w:cs="Times New Roman"/>
          <w:sz w:val="24"/>
          <w:szCs w:val="24"/>
        </w:rPr>
        <w:t>able</w:t>
      </w:r>
      <w:r w:rsidR="00375023">
        <w:rPr>
          <w:rFonts w:ascii="Times New Roman" w:hAnsi="Times New Roman" w:cs="Times New Roman"/>
          <w:sz w:val="24"/>
          <w:szCs w:val="24"/>
        </w:rPr>
        <w:t>s 4 and 5</w:t>
      </w:r>
      <w:r w:rsidR="00CA27A0">
        <w:rPr>
          <w:rFonts w:ascii="Times New Roman" w:hAnsi="Times New Roman" w:cs="Times New Roman"/>
          <w:sz w:val="24"/>
          <w:szCs w:val="24"/>
        </w:rPr>
        <w:t xml:space="preserve">, </w:t>
      </w:r>
      <w:r w:rsidR="0095134B">
        <w:rPr>
          <w:rFonts w:ascii="Times New Roman" w:hAnsi="Times New Roman" w:cs="Times New Roman"/>
          <w:sz w:val="24"/>
          <w:szCs w:val="24"/>
        </w:rPr>
        <w:t xml:space="preserve">the median plan’s </w:t>
      </w:r>
      <w:r w:rsidR="00B922CB">
        <w:rPr>
          <w:rFonts w:ascii="Times New Roman" w:hAnsi="Times New Roman" w:cs="Times New Roman"/>
          <w:sz w:val="24"/>
          <w:szCs w:val="24"/>
        </w:rPr>
        <w:t>funding ratio</w:t>
      </w:r>
      <w:r w:rsidR="002D2D8C">
        <w:rPr>
          <w:rFonts w:ascii="Times New Roman" w:hAnsi="Times New Roman" w:cs="Times New Roman"/>
          <w:sz w:val="24"/>
          <w:szCs w:val="24"/>
        </w:rPr>
        <w:t xml:space="preserve"> </w:t>
      </w:r>
      <w:r w:rsidR="0095134B">
        <w:rPr>
          <w:rFonts w:ascii="Times New Roman" w:hAnsi="Times New Roman" w:cs="Times New Roman"/>
          <w:sz w:val="24"/>
          <w:szCs w:val="24"/>
        </w:rPr>
        <w:t>increases</w:t>
      </w:r>
      <w:r w:rsidR="00B922CB">
        <w:rPr>
          <w:rFonts w:ascii="Times New Roman" w:hAnsi="Times New Roman" w:cs="Times New Roman"/>
          <w:sz w:val="24"/>
          <w:szCs w:val="24"/>
        </w:rPr>
        <w:t xml:space="preserve"> </w:t>
      </w:r>
      <w:r w:rsidR="00667783">
        <w:rPr>
          <w:rFonts w:ascii="Times New Roman" w:hAnsi="Times New Roman" w:cs="Times New Roman"/>
          <w:sz w:val="24"/>
          <w:szCs w:val="24"/>
        </w:rPr>
        <w:t xml:space="preserve">by </w:t>
      </w:r>
      <w:r w:rsidR="00375023">
        <w:rPr>
          <w:rFonts w:ascii="Times New Roman" w:hAnsi="Times New Roman" w:cs="Times New Roman"/>
          <w:sz w:val="24"/>
          <w:szCs w:val="24"/>
        </w:rPr>
        <w:t>4.28</w:t>
      </w:r>
      <w:r w:rsidR="00B922CB">
        <w:rPr>
          <w:rFonts w:ascii="Times New Roman" w:hAnsi="Times New Roman" w:cs="Times New Roman"/>
          <w:sz w:val="24"/>
          <w:szCs w:val="24"/>
        </w:rPr>
        <w:t xml:space="preserve"> percentage points </w:t>
      </w:r>
      <w:r w:rsidR="0095134B">
        <w:rPr>
          <w:rFonts w:ascii="Times New Roman" w:hAnsi="Times New Roman" w:cs="Times New Roman"/>
          <w:sz w:val="24"/>
          <w:szCs w:val="24"/>
        </w:rPr>
        <w:t xml:space="preserve">when it changes to </w:t>
      </w:r>
      <w:r w:rsidR="00B922CB">
        <w:rPr>
          <w:rFonts w:ascii="Times New Roman" w:hAnsi="Times New Roman" w:cs="Times New Roman"/>
          <w:sz w:val="24"/>
          <w:szCs w:val="24"/>
        </w:rPr>
        <w:t>the PUC method</w:t>
      </w:r>
      <w:r w:rsidR="005137BF">
        <w:rPr>
          <w:rFonts w:ascii="Times New Roman" w:hAnsi="Times New Roman" w:cs="Times New Roman"/>
          <w:sz w:val="24"/>
          <w:szCs w:val="24"/>
        </w:rPr>
        <w:t xml:space="preserve"> and</w:t>
      </w:r>
      <w:r w:rsidR="005137BF" w:rsidRPr="005137BF">
        <w:rPr>
          <w:rFonts w:ascii="Times New Roman" w:hAnsi="Times New Roman" w:cs="Times New Roman"/>
          <w:sz w:val="24"/>
          <w:szCs w:val="24"/>
        </w:rPr>
        <w:t xml:space="preserve"> </w:t>
      </w:r>
      <w:r w:rsidR="0095134B">
        <w:rPr>
          <w:rFonts w:ascii="Times New Roman" w:hAnsi="Times New Roman" w:cs="Times New Roman"/>
          <w:sz w:val="24"/>
          <w:szCs w:val="24"/>
        </w:rPr>
        <w:t>its</w:t>
      </w:r>
      <w:r w:rsidR="00B922CB">
        <w:rPr>
          <w:rFonts w:ascii="Times New Roman" w:hAnsi="Times New Roman" w:cs="Times New Roman"/>
          <w:sz w:val="24"/>
          <w:szCs w:val="24"/>
        </w:rPr>
        <w:t xml:space="preserve"> </w:t>
      </w:r>
      <w:r w:rsidR="005137BF">
        <w:rPr>
          <w:rFonts w:ascii="Times New Roman" w:hAnsi="Times New Roman" w:cs="Times New Roman"/>
          <w:sz w:val="24"/>
          <w:szCs w:val="24"/>
        </w:rPr>
        <w:t xml:space="preserve">ARC </w:t>
      </w:r>
      <w:r w:rsidR="0095134B">
        <w:rPr>
          <w:rFonts w:ascii="Times New Roman" w:hAnsi="Times New Roman" w:cs="Times New Roman"/>
          <w:sz w:val="24"/>
          <w:szCs w:val="24"/>
        </w:rPr>
        <w:t>increases</w:t>
      </w:r>
      <w:r w:rsidR="00B922CB">
        <w:rPr>
          <w:rFonts w:ascii="Times New Roman" w:hAnsi="Times New Roman" w:cs="Times New Roman"/>
          <w:sz w:val="24"/>
          <w:szCs w:val="24"/>
        </w:rPr>
        <w:t xml:space="preserve"> </w:t>
      </w:r>
      <w:r w:rsidR="005137BF">
        <w:rPr>
          <w:rFonts w:ascii="Times New Roman" w:hAnsi="Times New Roman" w:cs="Times New Roman"/>
          <w:sz w:val="24"/>
          <w:szCs w:val="24"/>
        </w:rPr>
        <w:t>by 0.31</w:t>
      </w:r>
      <w:r w:rsidR="00B922CB">
        <w:rPr>
          <w:rFonts w:ascii="Times New Roman" w:hAnsi="Times New Roman" w:cs="Times New Roman"/>
          <w:sz w:val="24"/>
          <w:szCs w:val="24"/>
        </w:rPr>
        <w:t xml:space="preserve"> percent</w:t>
      </w:r>
      <w:r w:rsidR="0095134B">
        <w:rPr>
          <w:rFonts w:ascii="Times New Roman" w:hAnsi="Times New Roman" w:cs="Times New Roman"/>
          <w:sz w:val="24"/>
          <w:szCs w:val="24"/>
        </w:rPr>
        <w:t>age points</w:t>
      </w:r>
      <w:r w:rsidR="00667783">
        <w:rPr>
          <w:rFonts w:ascii="Times New Roman" w:hAnsi="Times New Roman" w:cs="Times New Roman"/>
          <w:sz w:val="24"/>
          <w:szCs w:val="24"/>
        </w:rPr>
        <w:t>.</w:t>
      </w:r>
      <w:r w:rsidR="00DF33CD">
        <w:rPr>
          <w:rFonts w:ascii="Times New Roman" w:hAnsi="Times New Roman" w:cs="Times New Roman"/>
          <w:sz w:val="24"/>
          <w:szCs w:val="24"/>
        </w:rPr>
        <w:t xml:space="preserve"> </w:t>
      </w:r>
    </w:p>
    <w:p w14:paraId="4062A952" w14:textId="787AD498" w:rsidR="0063429A" w:rsidRDefault="00252F98" w:rsidP="005137BF">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95134B">
        <w:rPr>
          <w:rFonts w:ascii="Times New Roman" w:hAnsi="Times New Roman" w:cs="Times New Roman"/>
          <w:sz w:val="24"/>
          <w:szCs w:val="24"/>
        </w:rPr>
        <w:t xml:space="preserve">The new GASB standards require that plans report their funding ratios using the EAN method. For </w:t>
      </w:r>
      <w:r w:rsidR="0063429A">
        <w:rPr>
          <w:rFonts w:ascii="Times New Roman" w:hAnsi="Times New Roman" w:cs="Times New Roman"/>
          <w:sz w:val="24"/>
          <w:szCs w:val="24"/>
        </w:rPr>
        <w:t xml:space="preserve">most </w:t>
      </w:r>
      <w:r w:rsidR="0095134B">
        <w:rPr>
          <w:rFonts w:ascii="Times New Roman" w:hAnsi="Times New Roman" w:cs="Times New Roman"/>
          <w:sz w:val="24"/>
          <w:szCs w:val="24"/>
        </w:rPr>
        <w:t xml:space="preserve">plans currently using PUC, this will likely have a small </w:t>
      </w:r>
      <w:r w:rsidR="0063429A">
        <w:rPr>
          <w:rFonts w:ascii="Times New Roman" w:hAnsi="Times New Roman" w:cs="Times New Roman"/>
          <w:sz w:val="24"/>
          <w:szCs w:val="24"/>
        </w:rPr>
        <w:t xml:space="preserve">negative </w:t>
      </w:r>
      <w:r w:rsidR="0095134B">
        <w:rPr>
          <w:rFonts w:ascii="Times New Roman" w:hAnsi="Times New Roman" w:cs="Times New Roman"/>
          <w:sz w:val="24"/>
          <w:szCs w:val="24"/>
        </w:rPr>
        <w:t xml:space="preserve">effect on their </w:t>
      </w:r>
      <w:r w:rsidR="0095134B">
        <w:rPr>
          <w:rFonts w:ascii="Times New Roman" w:hAnsi="Times New Roman" w:cs="Times New Roman"/>
          <w:sz w:val="24"/>
          <w:szCs w:val="24"/>
        </w:rPr>
        <w:lastRenderedPageBreak/>
        <w:t xml:space="preserve">funding ratios (reducing it by about 3.5 to 5 percent). The effect on the contribution rate is more interesting. Plans with a younger demographic will likely experience a slight increase in their ARCs (about 1.46 percent), and plans with an older demographic will have a lower ARC (about 1.37 percent). </w:t>
      </w:r>
      <w:r w:rsidR="00D44C17">
        <w:rPr>
          <w:rFonts w:ascii="Times New Roman" w:hAnsi="Times New Roman" w:cs="Times New Roman"/>
          <w:sz w:val="24"/>
          <w:szCs w:val="24"/>
        </w:rPr>
        <w:t xml:space="preserve">This is because EAN accumulates an employee’s normal costs faster in the early years of service, while PUC accumulates normal costs faster in later years. PUC accelerates the accumulation of AAL in the last 20 years before retirement. Both methods reach the same AAL at retirement. </w:t>
      </w:r>
      <w:r w:rsidR="0095134B">
        <w:rPr>
          <w:rFonts w:ascii="Times New Roman" w:hAnsi="Times New Roman" w:cs="Times New Roman"/>
          <w:sz w:val="24"/>
          <w:szCs w:val="24"/>
        </w:rPr>
        <w:t xml:space="preserve">These are not large changes and will likely not greatly affect the decision to change the way plans decide how to calculate their contribution rate. </w:t>
      </w:r>
      <w:r w:rsidR="008B240E">
        <w:rPr>
          <w:rFonts w:ascii="Times New Roman" w:hAnsi="Times New Roman" w:cs="Times New Roman"/>
          <w:sz w:val="24"/>
          <w:szCs w:val="24"/>
        </w:rPr>
        <w:t>However, a</w:t>
      </w:r>
      <w:r w:rsidR="00D44C17">
        <w:rPr>
          <w:rFonts w:ascii="Times New Roman" w:hAnsi="Times New Roman" w:cs="Times New Roman"/>
          <w:sz w:val="24"/>
          <w:szCs w:val="24"/>
        </w:rPr>
        <w:t xml:space="preserve">s demonstrated in </w:t>
      </w:r>
      <w:r w:rsidR="00FD6B93">
        <w:rPr>
          <w:rFonts w:ascii="Times New Roman" w:hAnsi="Times New Roman" w:cs="Times New Roman"/>
          <w:sz w:val="24"/>
          <w:szCs w:val="24"/>
        </w:rPr>
        <w:t>f</w:t>
      </w:r>
      <w:r w:rsidR="00D44C17">
        <w:rPr>
          <w:rFonts w:ascii="Times New Roman" w:hAnsi="Times New Roman" w:cs="Times New Roman"/>
          <w:sz w:val="24"/>
          <w:szCs w:val="24"/>
        </w:rPr>
        <w:t xml:space="preserve">igure </w:t>
      </w:r>
      <w:r w:rsidR="002E7EDB">
        <w:rPr>
          <w:rFonts w:ascii="Times New Roman" w:hAnsi="Times New Roman" w:cs="Times New Roman"/>
          <w:sz w:val="24"/>
          <w:szCs w:val="24"/>
        </w:rPr>
        <w:t>3</w:t>
      </w:r>
      <w:r w:rsidR="00D44C17">
        <w:rPr>
          <w:rFonts w:ascii="Times New Roman" w:hAnsi="Times New Roman" w:cs="Times New Roman"/>
          <w:sz w:val="24"/>
          <w:szCs w:val="24"/>
        </w:rPr>
        <w:t xml:space="preserve">, a more important effect of changing actuarial cost methods is the result of the interactive effect of cost methods with salary growth rate assumptions. </w:t>
      </w:r>
    </w:p>
    <w:p w14:paraId="649D5DF0" w14:textId="5041195D" w:rsidR="004C3B8C" w:rsidRDefault="004C3B8C" w:rsidP="005137BF">
      <w:pPr>
        <w:spacing w:after="0" w:line="480" w:lineRule="auto"/>
        <w:contextualSpacing/>
        <w:rPr>
          <w:rFonts w:ascii="Times New Roman" w:hAnsi="Times New Roman" w:cs="Times New Roman"/>
          <w:b/>
          <w:sz w:val="24"/>
          <w:szCs w:val="24"/>
        </w:rPr>
      </w:pPr>
      <w:r>
        <w:rPr>
          <w:rFonts w:ascii="Times New Roman" w:hAnsi="Times New Roman" w:cs="Times New Roman"/>
          <w:b/>
          <w:sz w:val="24"/>
          <w:szCs w:val="24"/>
        </w:rPr>
        <w:t xml:space="preserve">The </w:t>
      </w:r>
      <w:r w:rsidR="00BD702E">
        <w:rPr>
          <w:rFonts w:ascii="Times New Roman" w:hAnsi="Times New Roman" w:cs="Times New Roman"/>
          <w:b/>
          <w:sz w:val="24"/>
          <w:szCs w:val="24"/>
        </w:rPr>
        <w:t>Mortality Table</w:t>
      </w:r>
    </w:p>
    <w:p w14:paraId="6C5C6247" w14:textId="6DA148B5" w:rsidR="0093488C" w:rsidRDefault="004C3B8C" w:rsidP="00825963">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As shown in </w:t>
      </w:r>
      <w:r w:rsidR="00D44C17">
        <w:rPr>
          <w:rFonts w:ascii="Times New Roman" w:hAnsi="Times New Roman" w:cs="Times New Roman"/>
          <w:sz w:val="24"/>
          <w:szCs w:val="24"/>
        </w:rPr>
        <w:t>Panel D</w:t>
      </w:r>
      <w:r w:rsidR="0054502C">
        <w:rPr>
          <w:rFonts w:ascii="Times New Roman" w:hAnsi="Times New Roman" w:cs="Times New Roman"/>
          <w:sz w:val="24"/>
          <w:szCs w:val="24"/>
        </w:rPr>
        <w:t xml:space="preserve"> of </w:t>
      </w:r>
      <w:r w:rsidR="00FD6B93">
        <w:rPr>
          <w:rFonts w:ascii="Times New Roman" w:hAnsi="Times New Roman" w:cs="Times New Roman"/>
          <w:sz w:val="24"/>
          <w:szCs w:val="24"/>
        </w:rPr>
        <w:t>t</w:t>
      </w:r>
      <w:r w:rsidR="0054502C">
        <w:rPr>
          <w:rFonts w:ascii="Times New Roman" w:hAnsi="Times New Roman" w:cs="Times New Roman"/>
          <w:sz w:val="24"/>
          <w:szCs w:val="24"/>
        </w:rPr>
        <w:t>able</w:t>
      </w:r>
      <w:r w:rsidR="0093488C">
        <w:rPr>
          <w:rFonts w:ascii="Times New Roman" w:hAnsi="Times New Roman" w:cs="Times New Roman"/>
          <w:sz w:val="24"/>
          <w:szCs w:val="24"/>
        </w:rPr>
        <w:t xml:space="preserve">s </w:t>
      </w:r>
      <w:r w:rsidR="0054502C">
        <w:rPr>
          <w:rFonts w:ascii="Times New Roman" w:hAnsi="Times New Roman" w:cs="Times New Roman"/>
          <w:sz w:val="24"/>
          <w:szCs w:val="24"/>
        </w:rPr>
        <w:t>4</w:t>
      </w:r>
      <w:r w:rsidR="0093488C">
        <w:rPr>
          <w:rFonts w:ascii="Times New Roman" w:hAnsi="Times New Roman" w:cs="Times New Roman"/>
          <w:sz w:val="24"/>
          <w:szCs w:val="24"/>
        </w:rPr>
        <w:t xml:space="preserve"> and </w:t>
      </w:r>
      <w:r w:rsidR="0054502C">
        <w:rPr>
          <w:rFonts w:ascii="Times New Roman" w:hAnsi="Times New Roman" w:cs="Times New Roman"/>
          <w:sz w:val="24"/>
          <w:szCs w:val="24"/>
        </w:rPr>
        <w:t>5</w:t>
      </w:r>
      <w:r>
        <w:rPr>
          <w:rFonts w:ascii="Times New Roman" w:hAnsi="Times New Roman" w:cs="Times New Roman"/>
          <w:sz w:val="24"/>
          <w:szCs w:val="24"/>
        </w:rPr>
        <w:t xml:space="preserve">, </w:t>
      </w:r>
      <w:r w:rsidR="00D44C17">
        <w:rPr>
          <w:rFonts w:ascii="Times New Roman" w:hAnsi="Times New Roman" w:cs="Times New Roman"/>
          <w:sz w:val="24"/>
          <w:szCs w:val="24"/>
        </w:rPr>
        <w:t xml:space="preserve">updating the </w:t>
      </w:r>
      <w:r w:rsidR="008B240E">
        <w:rPr>
          <w:rFonts w:ascii="Times New Roman" w:hAnsi="Times New Roman" w:cs="Times New Roman"/>
          <w:sz w:val="24"/>
          <w:szCs w:val="24"/>
        </w:rPr>
        <w:t xml:space="preserve">median plan’s </w:t>
      </w:r>
      <w:r w:rsidR="00D44C17">
        <w:rPr>
          <w:rFonts w:ascii="Times New Roman" w:hAnsi="Times New Roman" w:cs="Times New Roman"/>
          <w:sz w:val="24"/>
          <w:szCs w:val="24"/>
        </w:rPr>
        <w:t xml:space="preserve">mortality </w:t>
      </w:r>
      <w:r w:rsidR="0063429A">
        <w:rPr>
          <w:rFonts w:ascii="Times New Roman" w:hAnsi="Times New Roman" w:cs="Times New Roman"/>
          <w:sz w:val="24"/>
          <w:szCs w:val="24"/>
        </w:rPr>
        <w:t>t</w:t>
      </w:r>
      <w:r w:rsidR="00D44C17">
        <w:rPr>
          <w:rFonts w:ascii="Times New Roman" w:hAnsi="Times New Roman" w:cs="Times New Roman"/>
          <w:sz w:val="24"/>
          <w:szCs w:val="24"/>
        </w:rPr>
        <w:t>able</w:t>
      </w:r>
      <w:r w:rsidR="008B240E">
        <w:rPr>
          <w:rFonts w:ascii="Times New Roman" w:hAnsi="Times New Roman" w:cs="Times New Roman"/>
          <w:sz w:val="24"/>
          <w:szCs w:val="24"/>
        </w:rPr>
        <w:t xml:space="preserve"> from RP-2000 to </w:t>
      </w:r>
      <w:r w:rsidR="0063429A">
        <w:rPr>
          <w:rFonts w:ascii="Times New Roman" w:hAnsi="Times New Roman" w:cs="Times New Roman"/>
          <w:sz w:val="24"/>
          <w:szCs w:val="24"/>
        </w:rPr>
        <w:t xml:space="preserve">RP-2000 </w:t>
      </w:r>
      <w:r w:rsidR="008B240E">
        <w:rPr>
          <w:rFonts w:ascii="Times New Roman" w:hAnsi="Times New Roman" w:cs="Times New Roman"/>
          <w:sz w:val="24"/>
          <w:szCs w:val="24"/>
        </w:rPr>
        <w:t xml:space="preserve">(with a </w:t>
      </w:r>
      <w:r w:rsidR="00D44C17">
        <w:rPr>
          <w:rFonts w:ascii="Times New Roman" w:hAnsi="Times New Roman" w:cs="Times New Roman"/>
          <w:sz w:val="24"/>
          <w:szCs w:val="24"/>
        </w:rPr>
        <w:t>10-year project</w:t>
      </w:r>
      <w:r w:rsidR="0063429A">
        <w:rPr>
          <w:rFonts w:ascii="Times New Roman" w:hAnsi="Times New Roman" w:cs="Times New Roman"/>
          <w:sz w:val="24"/>
          <w:szCs w:val="24"/>
        </w:rPr>
        <w:t>ion</w:t>
      </w:r>
      <w:r w:rsidR="004E23B2">
        <w:rPr>
          <w:rFonts w:ascii="Times New Roman" w:hAnsi="Times New Roman" w:cs="Times New Roman"/>
          <w:sz w:val="24"/>
          <w:szCs w:val="24"/>
        </w:rPr>
        <w:t xml:space="preserve"> using scale AA</w:t>
      </w:r>
      <w:r w:rsidR="008B240E">
        <w:rPr>
          <w:rFonts w:ascii="Times New Roman" w:hAnsi="Times New Roman" w:cs="Times New Roman"/>
          <w:sz w:val="24"/>
          <w:szCs w:val="24"/>
        </w:rPr>
        <w:t>)</w:t>
      </w:r>
      <w:r w:rsidR="00D44C17">
        <w:rPr>
          <w:rFonts w:ascii="Times New Roman" w:hAnsi="Times New Roman" w:cs="Times New Roman"/>
          <w:sz w:val="24"/>
          <w:szCs w:val="24"/>
        </w:rPr>
        <w:t xml:space="preserve"> </w:t>
      </w:r>
      <w:r w:rsidR="0093488C">
        <w:rPr>
          <w:rFonts w:ascii="Times New Roman" w:hAnsi="Times New Roman" w:cs="Times New Roman"/>
          <w:sz w:val="24"/>
          <w:szCs w:val="24"/>
        </w:rPr>
        <w:t>reduce</w:t>
      </w:r>
      <w:r w:rsidR="00D44C17">
        <w:rPr>
          <w:rFonts w:ascii="Times New Roman" w:hAnsi="Times New Roman" w:cs="Times New Roman"/>
          <w:sz w:val="24"/>
          <w:szCs w:val="24"/>
        </w:rPr>
        <w:t xml:space="preserve">d </w:t>
      </w:r>
      <w:r w:rsidR="008B240E">
        <w:rPr>
          <w:rFonts w:ascii="Times New Roman" w:hAnsi="Times New Roman" w:cs="Times New Roman"/>
          <w:sz w:val="24"/>
          <w:szCs w:val="24"/>
        </w:rPr>
        <w:t>its</w:t>
      </w:r>
      <w:r>
        <w:rPr>
          <w:rFonts w:ascii="Times New Roman" w:hAnsi="Times New Roman" w:cs="Times New Roman"/>
          <w:sz w:val="24"/>
          <w:szCs w:val="24"/>
        </w:rPr>
        <w:t xml:space="preserve"> funding ratio </w:t>
      </w:r>
      <w:r w:rsidR="0093488C">
        <w:rPr>
          <w:rFonts w:ascii="Times New Roman" w:hAnsi="Times New Roman" w:cs="Times New Roman"/>
          <w:sz w:val="24"/>
          <w:szCs w:val="24"/>
        </w:rPr>
        <w:t>by 2.</w:t>
      </w:r>
      <w:r w:rsidR="0054502C">
        <w:rPr>
          <w:rFonts w:ascii="Times New Roman" w:hAnsi="Times New Roman" w:cs="Times New Roman"/>
          <w:sz w:val="24"/>
          <w:szCs w:val="24"/>
        </w:rPr>
        <w:t>28</w:t>
      </w:r>
      <w:r w:rsidR="00B922CB">
        <w:rPr>
          <w:rFonts w:ascii="Times New Roman" w:hAnsi="Times New Roman" w:cs="Times New Roman"/>
          <w:sz w:val="24"/>
          <w:szCs w:val="24"/>
        </w:rPr>
        <w:t xml:space="preserve"> percentage points</w:t>
      </w:r>
      <w:r w:rsidR="0093488C">
        <w:rPr>
          <w:rFonts w:ascii="Times New Roman" w:hAnsi="Times New Roman" w:cs="Times New Roman"/>
          <w:sz w:val="24"/>
          <w:szCs w:val="24"/>
        </w:rPr>
        <w:t xml:space="preserve"> and increase</w:t>
      </w:r>
      <w:r w:rsidR="00D44C17">
        <w:rPr>
          <w:rFonts w:ascii="Times New Roman" w:hAnsi="Times New Roman" w:cs="Times New Roman"/>
          <w:sz w:val="24"/>
          <w:szCs w:val="24"/>
        </w:rPr>
        <w:t xml:space="preserve">d its </w:t>
      </w:r>
      <w:r w:rsidR="0093488C">
        <w:rPr>
          <w:rFonts w:ascii="Times New Roman" w:hAnsi="Times New Roman" w:cs="Times New Roman"/>
          <w:sz w:val="24"/>
          <w:szCs w:val="24"/>
        </w:rPr>
        <w:t>ARC by 1.7</w:t>
      </w:r>
      <w:r w:rsidR="0054502C">
        <w:rPr>
          <w:rFonts w:ascii="Times New Roman" w:hAnsi="Times New Roman" w:cs="Times New Roman"/>
          <w:sz w:val="24"/>
          <w:szCs w:val="24"/>
        </w:rPr>
        <w:t>4</w:t>
      </w:r>
      <w:r w:rsidR="00B922CB">
        <w:rPr>
          <w:rFonts w:ascii="Times New Roman" w:hAnsi="Times New Roman" w:cs="Times New Roman"/>
          <w:sz w:val="24"/>
          <w:szCs w:val="24"/>
        </w:rPr>
        <w:t xml:space="preserve"> percent</w:t>
      </w:r>
      <w:r w:rsidR="00D44C17">
        <w:rPr>
          <w:rFonts w:ascii="Times New Roman" w:hAnsi="Times New Roman" w:cs="Times New Roman"/>
          <w:sz w:val="24"/>
          <w:szCs w:val="24"/>
        </w:rPr>
        <w:t>age points</w:t>
      </w:r>
      <w:r w:rsidR="0093488C">
        <w:rPr>
          <w:rFonts w:ascii="Times New Roman" w:hAnsi="Times New Roman" w:cs="Times New Roman"/>
          <w:sz w:val="24"/>
          <w:szCs w:val="24"/>
        </w:rPr>
        <w:t xml:space="preserve">. Further updating the </w:t>
      </w:r>
      <w:r w:rsidR="00D76ADE">
        <w:rPr>
          <w:rFonts w:ascii="Times New Roman" w:hAnsi="Times New Roman" w:cs="Times New Roman"/>
          <w:sz w:val="24"/>
          <w:szCs w:val="24"/>
        </w:rPr>
        <w:t xml:space="preserve">mortality table to RP-2014 </w:t>
      </w:r>
      <w:r w:rsidR="0093488C">
        <w:rPr>
          <w:rFonts w:ascii="Times New Roman" w:hAnsi="Times New Roman" w:cs="Times New Roman"/>
          <w:sz w:val="24"/>
          <w:szCs w:val="24"/>
        </w:rPr>
        <w:t>reduce</w:t>
      </w:r>
      <w:r w:rsidR="00D76ADE">
        <w:rPr>
          <w:rFonts w:ascii="Times New Roman" w:hAnsi="Times New Roman" w:cs="Times New Roman"/>
          <w:sz w:val="24"/>
          <w:szCs w:val="24"/>
        </w:rPr>
        <w:t>s</w:t>
      </w:r>
      <w:r w:rsidR="0093488C">
        <w:rPr>
          <w:rFonts w:ascii="Times New Roman" w:hAnsi="Times New Roman" w:cs="Times New Roman"/>
          <w:sz w:val="24"/>
          <w:szCs w:val="24"/>
        </w:rPr>
        <w:t xml:space="preserve"> the funding ratio by another 4.</w:t>
      </w:r>
      <w:r w:rsidR="0054502C">
        <w:rPr>
          <w:rFonts w:ascii="Times New Roman" w:hAnsi="Times New Roman" w:cs="Times New Roman"/>
          <w:sz w:val="24"/>
          <w:szCs w:val="24"/>
        </w:rPr>
        <w:t>78</w:t>
      </w:r>
      <w:r w:rsidR="00B922CB">
        <w:rPr>
          <w:rFonts w:ascii="Times New Roman" w:hAnsi="Times New Roman" w:cs="Times New Roman"/>
          <w:sz w:val="24"/>
          <w:szCs w:val="24"/>
        </w:rPr>
        <w:t xml:space="preserve"> percentage points</w:t>
      </w:r>
      <w:r w:rsidR="0093488C">
        <w:rPr>
          <w:rFonts w:ascii="Times New Roman" w:hAnsi="Times New Roman" w:cs="Times New Roman"/>
          <w:sz w:val="24"/>
          <w:szCs w:val="24"/>
        </w:rPr>
        <w:t xml:space="preserve"> and increase</w:t>
      </w:r>
      <w:r w:rsidR="00B922CB">
        <w:rPr>
          <w:rFonts w:ascii="Times New Roman" w:hAnsi="Times New Roman" w:cs="Times New Roman"/>
          <w:sz w:val="24"/>
          <w:szCs w:val="24"/>
        </w:rPr>
        <w:t>s</w:t>
      </w:r>
      <w:r w:rsidR="0093488C">
        <w:rPr>
          <w:rFonts w:ascii="Times New Roman" w:hAnsi="Times New Roman" w:cs="Times New Roman"/>
          <w:sz w:val="24"/>
          <w:szCs w:val="24"/>
        </w:rPr>
        <w:t xml:space="preserve"> the ARC by </w:t>
      </w:r>
      <w:r w:rsidR="00D44C17">
        <w:rPr>
          <w:rFonts w:ascii="Times New Roman" w:hAnsi="Times New Roman" w:cs="Times New Roman"/>
          <w:sz w:val="24"/>
          <w:szCs w:val="24"/>
        </w:rPr>
        <w:t xml:space="preserve">another </w:t>
      </w:r>
      <w:r w:rsidR="0054502C">
        <w:rPr>
          <w:rFonts w:ascii="Times New Roman" w:hAnsi="Times New Roman" w:cs="Times New Roman"/>
          <w:sz w:val="24"/>
          <w:szCs w:val="24"/>
        </w:rPr>
        <w:t>3.97</w:t>
      </w:r>
      <w:r w:rsidR="00B922CB">
        <w:rPr>
          <w:rFonts w:ascii="Times New Roman" w:hAnsi="Times New Roman" w:cs="Times New Roman"/>
          <w:sz w:val="24"/>
          <w:szCs w:val="24"/>
        </w:rPr>
        <w:t xml:space="preserve"> percent</w:t>
      </w:r>
      <w:r w:rsidR="00D44C17">
        <w:rPr>
          <w:rFonts w:ascii="Times New Roman" w:hAnsi="Times New Roman" w:cs="Times New Roman"/>
          <w:sz w:val="24"/>
          <w:szCs w:val="24"/>
        </w:rPr>
        <w:t xml:space="preserve">age points. This demonstrates why governing boards of some </w:t>
      </w:r>
      <w:r w:rsidR="008B240E">
        <w:rPr>
          <w:rFonts w:ascii="Times New Roman" w:hAnsi="Times New Roman" w:cs="Times New Roman"/>
          <w:sz w:val="24"/>
          <w:szCs w:val="24"/>
        </w:rPr>
        <w:t>pension systems</w:t>
      </w:r>
      <w:r w:rsidR="00D44C17">
        <w:rPr>
          <w:rFonts w:ascii="Times New Roman" w:hAnsi="Times New Roman" w:cs="Times New Roman"/>
          <w:sz w:val="24"/>
          <w:szCs w:val="24"/>
        </w:rPr>
        <w:t xml:space="preserve"> may delay updating their mortality tables. </w:t>
      </w:r>
      <w:r w:rsidR="0063429A">
        <w:rPr>
          <w:rFonts w:ascii="Times New Roman" w:hAnsi="Times New Roman" w:cs="Times New Roman"/>
          <w:sz w:val="24"/>
          <w:szCs w:val="24"/>
        </w:rPr>
        <w:t>Given the relatively larger increase to the most recent mortality table, we may expect some delay in adopti</w:t>
      </w:r>
      <w:r w:rsidR="00240E26">
        <w:rPr>
          <w:rFonts w:ascii="Times New Roman" w:hAnsi="Times New Roman" w:cs="Times New Roman"/>
          <w:sz w:val="24"/>
          <w:szCs w:val="24"/>
        </w:rPr>
        <w:t>ng</w:t>
      </w:r>
      <w:r w:rsidR="0063429A">
        <w:rPr>
          <w:rFonts w:ascii="Times New Roman" w:hAnsi="Times New Roman" w:cs="Times New Roman"/>
          <w:sz w:val="24"/>
          <w:szCs w:val="24"/>
        </w:rPr>
        <w:t xml:space="preserve"> the newest table. </w:t>
      </w:r>
      <w:r w:rsidR="00D44C17">
        <w:rPr>
          <w:rFonts w:ascii="Times New Roman" w:hAnsi="Times New Roman" w:cs="Times New Roman"/>
          <w:sz w:val="24"/>
          <w:szCs w:val="24"/>
        </w:rPr>
        <w:t xml:space="preserve">The decision to update a plan under median conditions from </w:t>
      </w:r>
      <w:r w:rsidR="00073DB4">
        <w:rPr>
          <w:rFonts w:ascii="Times New Roman" w:hAnsi="Times New Roman" w:cs="Times New Roman"/>
          <w:sz w:val="24"/>
          <w:szCs w:val="24"/>
        </w:rPr>
        <w:t xml:space="preserve">RP-2000 to RP-2014 means reducing the funding ratio by between around </w:t>
      </w:r>
      <w:r w:rsidR="008B240E">
        <w:rPr>
          <w:rFonts w:ascii="Times New Roman" w:hAnsi="Times New Roman" w:cs="Times New Roman"/>
          <w:sz w:val="24"/>
          <w:szCs w:val="24"/>
        </w:rPr>
        <w:t>6</w:t>
      </w:r>
      <w:r w:rsidR="00073DB4">
        <w:rPr>
          <w:rFonts w:ascii="Times New Roman" w:hAnsi="Times New Roman" w:cs="Times New Roman"/>
          <w:sz w:val="24"/>
          <w:szCs w:val="24"/>
        </w:rPr>
        <w:t xml:space="preserve"> to </w:t>
      </w:r>
      <w:r w:rsidR="008B240E">
        <w:rPr>
          <w:rFonts w:ascii="Times New Roman" w:hAnsi="Times New Roman" w:cs="Times New Roman"/>
          <w:sz w:val="24"/>
          <w:szCs w:val="24"/>
        </w:rPr>
        <w:t>8</w:t>
      </w:r>
      <w:r w:rsidR="00073DB4">
        <w:rPr>
          <w:rFonts w:ascii="Times New Roman" w:hAnsi="Times New Roman" w:cs="Times New Roman"/>
          <w:sz w:val="24"/>
          <w:szCs w:val="24"/>
        </w:rPr>
        <w:t xml:space="preserve"> percentage points. The effect is worse for plans that are better funded and younger plans. </w:t>
      </w:r>
      <w:r w:rsidR="008B240E">
        <w:rPr>
          <w:rFonts w:ascii="Times New Roman" w:hAnsi="Times New Roman" w:cs="Times New Roman"/>
          <w:sz w:val="24"/>
          <w:szCs w:val="24"/>
        </w:rPr>
        <w:t>Mortality tables</w:t>
      </w:r>
      <w:r w:rsidR="00073DB4">
        <w:rPr>
          <w:rFonts w:ascii="Times New Roman" w:hAnsi="Times New Roman" w:cs="Times New Roman"/>
          <w:sz w:val="24"/>
          <w:szCs w:val="24"/>
        </w:rPr>
        <w:t xml:space="preserve"> do not significantly </w:t>
      </w:r>
      <w:proofErr w:type="gramStart"/>
      <w:r w:rsidR="008D74D5">
        <w:rPr>
          <w:rFonts w:ascii="Times New Roman" w:hAnsi="Times New Roman" w:cs="Times New Roman"/>
          <w:sz w:val="24"/>
          <w:szCs w:val="24"/>
        </w:rPr>
        <w:t>affect</w:t>
      </w:r>
      <w:r w:rsidR="00073DB4">
        <w:rPr>
          <w:rFonts w:ascii="Times New Roman" w:hAnsi="Times New Roman" w:cs="Times New Roman"/>
          <w:sz w:val="24"/>
          <w:szCs w:val="24"/>
        </w:rPr>
        <w:t xml:space="preserve"> </w:t>
      </w:r>
      <w:r w:rsidR="008D74D5">
        <w:rPr>
          <w:rFonts w:ascii="Times New Roman" w:hAnsi="Times New Roman" w:cs="Times New Roman"/>
          <w:sz w:val="24"/>
          <w:szCs w:val="24"/>
        </w:rPr>
        <w:t xml:space="preserve"> the</w:t>
      </w:r>
      <w:proofErr w:type="gramEnd"/>
      <w:r w:rsidR="008D74D5">
        <w:rPr>
          <w:rFonts w:ascii="Times New Roman" w:hAnsi="Times New Roman" w:cs="Times New Roman"/>
          <w:sz w:val="24"/>
          <w:szCs w:val="24"/>
        </w:rPr>
        <w:t xml:space="preserve"> median plan’s</w:t>
      </w:r>
      <w:r w:rsidR="00073DB4">
        <w:rPr>
          <w:rFonts w:ascii="Times New Roman" w:hAnsi="Times New Roman" w:cs="Times New Roman"/>
          <w:sz w:val="24"/>
          <w:szCs w:val="24"/>
        </w:rPr>
        <w:t xml:space="preserve"> ARC</w:t>
      </w:r>
      <w:r w:rsidR="00AA283E">
        <w:rPr>
          <w:rFonts w:ascii="Times New Roman" w:hAnsi="Times New Roman" w:cs="Times New Roman"/>
          <w:sz w:val="24"/>
          <w:szCs w:val="24"/>
        </w:rPr>
        <w:t xml:space="preserve">, though the </w:t>
      </w:r>
      <w:r w:rsidR="00073DB4">
        <w:rPr>
          <w:rFonts w:ascii="Times New Roman" w:hAnsi="Times New Roman" w:cs="Times New Roman"/>
          <w:sz w:val="24"/>
          <w:szCs w:val="24"/>
        </w:rPr>
        <w:t>younger plan</w:t>
      </w:r>
      <w:r w:rsidR="00AA283E">
        <w:rPr>
          <w:rFonts w:ascii="Times New Roman" w:hAnsi="Times New Roman" w:cs="Times New Roman"/>
          <w:sz w:val="24"/>
          <w:szCs w:val="24"/>
        </w:rPr>
        <w:t xml:space="preserve"> did experience a greater increase in its ARC as a </w:t>
      </w:r>
      <w:r w:rsidR="00AA283E">
        <w:rPr>
          <w:rFonts w:ascii="Times New Roman" w:hAnsi="Times New Roman" w:cs="Times New Roman"/>
          <w:sz w:val="24"/>
          <w:szCs w:val="24"/>
        </w:rPr>
        <w:lastRenderedPageBreak/>
        <w:t xml:space="preserve">result of updating its mortality table compared to the plans with uniform and older age distributions. </w:t>
      </w:r>
    </w:p>
    <w:p w14:paraId="46607FF7" w14:textId="7366A510" w:rsidR="004C3B8C" w:rsidRDefault="004C3B8C" w:rsidP="001162E8">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The mortality table affects pension c</w:t>
      </w:r>
      <w:r w:rsidR="00B922CB">
        <w:rPr>
          <w:rFonts w:ascii="Times New Roman" w:hAnsi="Times New Roman" w:cs="Times New Roman"/>
          <w:sz w:val="24"/>
          <w:szCs w:val="24"/>
        </w:rPr>
        <w:t>osts and liabilities in</w:t>
      </w:r>
      <w:r w:rsidR="00364192">
        <w:rPr>
          <w:rFonts w:ascii="Times New Roman" w:hAnsi="Times New Roman" w:cs="Times New Roman"/>
          <w:sz w:val="24"/>
          <w:szCs w:val="24"/>
        </w:rPr>
        <w:t xml:space="preserve"> </w:t>
      </w:r>
      <w:r w:rsidR="002F2A0E">
        <w:rPr>
          <w:rFonts w:ascii="Times New Roman" w:hAnsi="Times New Roman" w:cs="Times New Roman"/>
          <w:sz w:val="24"/>
          <w:szCs w:val="24"/>
        </w:rPr>
        <w:t>three</w:t>
      </w:r>
      <w:r>
        <w:rPr>
          <w:rFonts w:ascii="Times New Roman" w:hAnsi="Times New Roman" w:cs="Times New Roman"/>
          <w:sz w:val="24"/>
          <w:szCs w:val="24"/>
        </w:rPr>
        <w:t xml:space="preserve"> ways. First, before retirement, the mortality table </w:t>
      </w:r>
      <w:r w:rsidR="00033521">
        <w:rPr>
          <w:rFonts w:ascii="Times New Roman" w:hAnsi="Times New Roman" w:cs="Times New Roman"/>
          <w:sz w:val="24"/>
          <w:szCs w:val="24"/>
        </w:rPr>
        <w:t>is used to predict</w:t>
      </w:r>
      <w:r>
        <w:rPr>
          <w:rFonts w:ascii="Times New Roman" w:hAnsi="Times New Roman" w:cs="Times New Roman"/>
          <w:sz w:val="24"/>
          <w:szCs w:val="24"/>
        </w:rPr>
        <w:t xml:space="preserve"> the probability </w:t>
      </w:r>
      <w:r w:rsidR="00033521">
        <w:rPr>
          <w:rFonts w:ascii="Times New Roman" w:hAnsi="Times New Roman" w:cs="Times New Roman"/>
          <w:sz w:val="24"/>
          <w:szCs w:val="24"/>
        </w:rPr>
        <w:t>that</w:t>
      </w:r>
      <w:r>
        <w:rPr>
          <w:rFonts w:ascii="Times New Roman" w:hAnsi="Times New Roman" w:cs="Times New Roman"/>
          <w:sz w:val="24"/>
          <w:szCs w:val="24"/>
        </w:rPr>
        <w:t xml:space="preserve"> </w:t>
      </w:r>
      <w:r w:rsidR="008B240E">
        <w:rPr>
          <w:rFonts w:ascii="Times New Roman" w:hAnsi="Times New Roman" w:cs="Times New Roman"/>
          <w:sz w:val="24"/>
          <w:szCs w:val="24"/>
        </w:rPr>
        <w:t>w</w:t>
      </w:r>
      <w:r>
        <w:rPr>
          <w:rFonts w:ascii="Times New Roman" w:hAnsi="Times New Roman" w:cs="Times New Roman"/>
          <w:sz w:val="24"/>
          <w:szCs w:val="24"/>
        </w:rPr>
        <w:t>orker</w:t>
      </w:r>
      <w:r w:rsidR="008B240E">
        <w:rPr>
          <w:rFonts w:ascii="Times New Roman" w:hAnsi="Times New Roman" w:cs="Times New Roman"/>
          <w:sz w:val="24"/>
          <w:szCs w:val="24"/>
        </w:rPr>
        <w:t>s</w:t>
      </w:r>
      <w:r>
        <w:rPr>
          <w:rFonts w:ascii="Times New Roman" w:hAnsi="Times New Roman" w:cs="Times New Roman"/>
          <w:sz w:val="24"/>
          <w:szCs w:val="24"/>
        </w:rPr>
        <w:t xml:space="preserve"> </w:t>
      </w:r>
      <w:r w:rsidR="00033521">
        <w:rPr>
          <w:rFonts w:ascii="Times New Roman" w:hAnsi="Times New Roman" w:cs="Times New Roman"/>
          <w:sz w:val="24"/>
          <w:szCs w:val="24"/>
        </w:rPr>
        <w:t>will “survive”</w:t>
      </w:r>
      <w:r>
        <w:rPr>
          <w:rFonts w:ascii="Times New Roman" w:hAnsi="Times New Roman" w:cs="Times New Roman"/>
          <w:sz w:val="24"/>
          <w:szCs w:val="24"/>
        </w:rPr>
        <w:t xml:space="preserve"> to the normal retirement age. If </w:t>
      </w:r>
      <w:r w:rsidR="00073DB4">
        <w:rPr>
          <w:rFonts w:ascii="Times New Roman" w:hAnsi="Times New Roman" w:cs="Times New Roman"/>
          <w:sz w:val="24"/>
          <w:szCs w:val="24"/>
        </w:rPr>
        <w:t>employees</w:t>
      </w:r>
      <w:r>
        <w:rPr>
          <w:rFonts w:ascii="Times New Roman" w:hAnsi="Times New Roman" w:cs="Times New Roman"/>
          <w:sz w:val="24"/>
          <w:szCs w:val="24"/>
        </w:rPr>
        <w:t xml:space="preserve"> fail to accumulate sufficient service years to qualify for retirement benefit</w:t>
      </w:r>
      <w:r w:rsidR="00073DB4">
        <w:rPr>
          <w:rFonts w:ascii="Times New Roman" w:hAnsi="Times New Roman" w:cs="Times New Roman"/>
          <w:sz w:val="24"/>
          <w:szCs w:val="24"/>
        </w:rPr>
        <w:t>s</w:t>
      </w:r>
      <w:r>
        <w:rPr>
          <w:rFonts w:ascii="Times New Roman" w:hAnsi="Times New Roman" w:cs="Times New Roman"/>
          <w:sz w:val="24"/>
          <w:szCs w:val="24"/>
        </w:rPr>
        <w:t>, their benefits will be eliminated or reduced. Second, updating the mortality rate increase</w:t>
      </w:r>
      <w:r w:rsidR="005A3493">
        <w:rPr>
          <w:rFonts w:ascii="Times New Roman" w:hAnsi="Times New Roman" w:cs="Times New Roman"/>
          <w:sz w:val="24"/>
          <w:szCs w:val="24"/>
        </w:rPr>
        <w:t>s</w:t>
      </w:r>
      <w:r>
        <w:rPr>
          <w:rFonts w:ascii="Times New Roman" w:hAnsi="Times New Roman" w:cs="Times New Roman"/>
          <w:sz w:val="24"/>
          <w:szCs w:val="24"/>
        </w:rPr>
        <w:t xml:space="preserve"> the life expect</w:t>
      </w:r>
      <w:r w:rsidR="005A3493">
        <w:rPr>
          <w:rFonts w:ascii="Times New Roman" w:hAnsi="Times New Roman" w:cs="Times New Roman"/>
          <w:sz w:val="24"/>
          <w:szCs w:val="24"/>
        </w:rPr>
        <w:t>ancy</w:t>
      </w:r>
      <w:r>
        <w:rPr>
          <w:rFonts w:ascii="Times New Roman" w:hAnsi="Times New Roman" w:cs="Times New Roman"/>
          <w:sz w:val="24"/>
          <w:szCs w:val="24"/>
        </w:rPr>
        <w:t>. With longer life expecta</w:t>
      </w:r>
      <w:r w:rsidR="005A3493">
        <w:rPr>
          <w:rFonts w:ascii="Times New Roman" w:hAnsi="Times New Roman" w:cs="Times New Roman"/>
          <w:sz w:val="24"/>
          <w:szCs w:val="24"/>
        </w:rPr>
        <w:t>nc</w:t>
      </w:r>
      <w:r w:rsidR="0063429A">
        <w:rPr>
          <w:rFonts w:ascii="Times New Roman" w:hAnsi="Times New Roman" w:cs="Times New Roman"/>
          <w:sz w:val="24"/>
          <w:szCs w:val="24"/>
        </w:rPr>
        <w:t>ies</w:t>
      </w:r>
      <w:r>
        <w:rPr>
          <w:rFonts w:ascii="Times New Roman" w:hAnsi="Times New Roman" w:cs="Times New Roman"/>
          <w:sz w:val="24"/>
          <w:szCs w:val="24"/>
        </w:rPr>
        <w:t>, benefit annuit</w:t>
      </w:r>
      <w:r w:rsidR="0063429A">
        <w:rPr>
          <w:rFonts w:ascii="Times New Roman" w:hAnsi="Times New Roman" w:cs="Times New Roman"/>
          <w:sz w:val="24"/>
          <w:szCs w:val="24"/>
        </w:rPr>
        <w:t>ies</w:t>
      </w:r>
      <w:r>
        <w:rPr>
          <w:rFonts w:ascii="Times New Roman" w:hAnsi="Times New Roman" w:cs="Times New Roman"/>
          <w:sz w:val="24"/>
          <w:szCs w:val="24"/>
        </w:rPr>
        <w:t xml:space="preserve"> </w:t>
      </w:r>
      <w:r w:rsidR="0063429A">
        <w:rPr>
          <w:rFonts w:ascii="Times New Roman" w:hAnsi="Times New Roman" w:cs="Times New Roman"/>
          <w:sz w:val="24"/>
          <w:szCs w:val="24"/>
        </w:rPr>
        <w:t>are</w:t>
      </w:r>
      <w:r>
        <w:rPr>
          <w:rFonts w:ascii="Times New Roman" w:hAnsi="Times New Roman" w:cs="Times New Roman"/>
          <w:sz w:val="24"/>
          <w:szCs w:val="24"/>
        </w:rPr>
        <w:t xml:space="preserve"> paid over </w:t>
      </w:r>
      <w:r w:rsidR="0063429A">
        <w:rPr>
          <w:rFonts w:ascii="Times New Roman" w:hAnsi="Times New Roman" w:cs="Times New Roman"/>
          <w:sz w:val="24"/>
          <w:szCs w:val="24"/>
        </w:rPr>
        <w:t>l</w:t>
      </w:r>
      <w:r>
        <w:rPr>
          <w:rFonts w:ascii="Times New Roman" w:hAnsi="Times New Roman" w:cs="Times New Roman"/>
          <w:sz w:val="24"/>
          <w:szCs w:val="24"/>
        </w:rPr>
        <w:t>onger time</w:t>
      </w:r>
      <w:r w:rsidR="0063429A">
        <w:rPr>
          <w:rFonts w:ascii="Times New Roman" w:hAnsi="Times New Roman" w:cs="Times New Roman"/>
          <w:sz w:val="24"/>
          <w:szCs w:val="24"/>
        </w:rPr>
        <w:t xml:space="preserve"> periods</w:t>
      </w:r>
      <w:r>
        <w:rPr>
          <w:rFonts w:ascii="Times New Roman" w:hAnsi="Times New Roman" w:cs="Times New Roman"/>
          <w:sz w:val="24"/>
          <w:szCs w:val="24"/>
        </w:rPr>
        <w:t xml:space="preserve">, so projected pension liabilities increase. </w:t>
      </w:r>
      <w:r w:rsidR="00073DB4">
        <w:rPr>
          <w:rFonts w:ascii="Times New Roman" w:hAnsi="Times New Roman" w:cs="Times New Roman"/>
          <w:sz w:val="24"/>
          <w:szCs w:val="24"/>
        </w:rPr>
        <w:t>The third reason is</w:t>
      </w:r>
      <w:r w:rsidR="008B240E">
        <w:rPr>
          <w:rFonts w:ascii="Times New Roman" w:hAnsi="Times New Roman" w:cs="Times New Roman"/>
          <w:sz w:val="24"/>
          <w:szCs w:val="24"/>
        </w:rPr>
        <w:t xml:space="preserve"> specific to the changes in individual </w:t>
      </w:r>
      <w:r w:rsidR="00073DB4">
        <w:rPr>
          <w:rFonts w:ascii="Times New Roman" w:hAnsi="Times New Roman" w:cs="Times New Roman"/>
          <w:sz w:val="24"/>
          <w:szCs w:val="24"/>
        </w:rPr>
        <w:t xml:space="preserve">mortality tables. When </w:t>
      </w:r>
      <w:r w:rsidR="00073DB4" w:rsidRPr="00073DB4">
        <w:rPr>
          <w:rFonts w:ascii="Times New Roman" w:hAnsi="Times New Roman" w:cs="Times New Roman"/>
          <w:sz w:val="24"/>
          <w:szCs w:val="24"/>
        </w:rPr>
        <w:t xml:space="preserve">you </w:t>
      </w:r>
      <w:r w:rsidR="002F2A0E" w:rsidRPr="00073DB4">
        <w:rPr>
          <w:rFonts w:ascii="Times New Roman" w:hAnsi="Times New Roman" w:cs="Times New Roman"/>
          <w:sz w:val="24"/>
          <w:szCs w:val="24"/>
        </w:rPr>
        <w:t>c</w:t>
      </w:r>
      <w:r w:rsidR="00C21043" w:rsidRPr="00073DB4">
        <w:rPr>
          <w:rFonts w:ascii="Times New Roman" w:hAnsi="Times New Roman" w:cs="Times New Roman"/>
          <w:sz w:val="24"/>
          <w:szCs w:val="24"/>
        </w:rPr>
        <w:t>ompar</w:t>
      </w:r>
      <w:r w:rsidR="00073DB4" w:rsidRPr="00073DB4">
        <w:rPr>
          <w:rFonts w:ascii="Times New Roman" w:hAnsi="Times New Roman" w:cs="Times New Roman"/>
          <w:sz w:val="24"/>
          <w:szCs w:val="24"/>
        </w:rPr>
        <w:t>e</w:t>
      </w:r>
      <w:r w:rsidR="00C21043" w:rsidRPr="00073DB4">
        <w:rPr>
          <w:rFonts w:ascii="Times New Roman" w:hAnsi="Times New Roman" w:cs="Times New Roman"/>
          <w:sz w:val="24"/>
          <w:szCs w:val="24"/>
        </w:rPr>
        <w:t xml:space="preserve"> RP-2014 with RP-2000, the </w:t>
      </w:r>
      <w:r w:rsidR="00234634">
        <w:rPr>
          <w:rFonts w:ascii="Times New Roman" w:hAnsi="Times New Roman" w:cs="Times New Roman"/>
          <w:sz w:val="24"/>
          <w:szCs w:val="24"/>
        </w:rPr>
        <w:t xml:space="preserve">mortality </w:t>
      </w:r>
      <w:r w:rsidR="00C21043" w:rsidRPr="00073DB4">
        <w:rPr>
          <w:rFonts w:ascii="Times New Roman" w:hAnsi="Times New Roman" w:cs="Times New Roman"/>
          <w:sz w:val="24"/>
          <w:szCs w:val="24"/>
        </w:rPr>
        <w:t xml:space="preserve">improvement rate </w:t>
      </w:r>
      <w:r w:rsidR="00BB7AEC">
        <w:rPr>
          <w:rFonts w:ascii="Times New Roman" w:hAnsi="Times New Roman" w:cs="Times New Roman"/>
          <w:sz w:val="24"/>
          <w:szCs w:val="24"/>
        </w:rPr>
        <w:t xml:space="preserve">(i.e., </w:t>
      </w:r>
      <w:r w:rsidR="00240E26">
        <w:rPr>
          <w:rFonts w:ascii="Times New Roman" w:hAnsi="Times New Roman" w:cs="Times New Roman"/>
          <w:sz w:val="24"/>
          <w:szCs w:val="24"/>
        </w:rPr>
        <w:t xml:space="preserve">the </w:t>
      </w:r>
      <w:r w:rsidR="00BB7AEC">
        <w:rPr>
          <w:rFonts w:ascii="Times New Roman" w:hAnsi="Times New Roman" w:cs="Times New Roman"/>
          <w:sz w:val="24"/>
          <w:szCs w:val="24"/>
        </w:rPr>
        <w:t xml:space="preserve">difference in mortality rates from one mortality table to another within the same age group) </w:t>
      </w:r>
      <w:r w:rsidR="00C21043" w:rsidRPr="00073DB4">
        <w:rPr>
          <w:rFonts w:ascii="Times New Roman" w:hAnsi="Times New Roman" w:cs="Times New Roman"/>
          <w:sz w:val="24"/>
          <w:szCs w:val="24"/>
        </w:rPr>
        <w:t xml:space="preserve">across all the age groups </w:t>
      </w:r>
      <w:r w:rsidR="00DD2A5A" w:rsidRPr="00073DB4">
        <w:rPr>
          <w:rFonts w:ascii="Times New Roman" w:hAnsi="Times New Roman" w:cs="Times New Roman"/>
          <w:sz w:val="24"/>
          <w:szCs w:val="24"/>
        </w:rPr>
        <w:t>is</w:t>
      </w:r>
      <w:r w:rsidR="00C21043" w:rsidRPr="00073DB4">
        <w:rPr>
          <w:rFonts w:ascii="Times New Roman" w:hAnsi="Times New Roman" w:cs="Times New Roman"/>
          <w:sz w:val="24"/>
          <w:szCs w:val="24"/>
        </w:rPr>
        <w:t xml:space="preserve"> approximately </w:t>
      </w:r>
      <w:r w:rsidR="002A2024" w:rsidRPr="00073DB4">
        <w:rPr>
          <w:rFonts w:ascii="Times New Roman" w:hAnsi="Times New Roman" w:cs="Times New Roman"/>
          <w:sz w:val="24"/>
          <w:szCs w:val="24"/>
        </w:rPr>
        <w:t>2</w:t>
      </w:r>
      <w:r w:rsidR="005A3493" w:rsidRPr="00073DB4">
        <w:rPr>
          <w:rFonts w:ascii="Times New Roman" w:hAnsi="Times New Roman" w:cs="Times New Roman"/>
          <w:sz w:val="24"/>
          <w:szCs w:val="24"/>
        </w:rPr>
        <w:t xml:space="preserve"> percent</w:t>
      </w:r>
      <w:r w:rsidR="00C21043" w:rsidRPr="00073DB4">
        <w:rPr>
          <w:rFonts w:ascii="Times New Roman" w:hAnsi="Times New Roman" w:cs="Times New Roman"/>
          <w:sz w:val="24"/>
          <w:szCs w:val="24"/>
        </w:rPr>
        <w:t xml:space="preserve">. However, </w:t>
      </w:r>
      <w:r w:rsidR="002A2024" w:rsidRPr="00073DB4">
        <w:rPr>
          <w:rFonts w:ascii="Times New Roman" w:hAnsi="Times New Roman" w:cs="Times New Roman"/>
          <w:sz w:val="24"/>
          <w:szCs w:val="24"/>
        </w:rPr>
        <w:t>the</w:t>
      </w:r>
      <w:r w:rsidR="002F2A0E" w:rsidRPr="00073DB4">
        <w:rPr>
          <w:rFonts w:ascii="Times New Roman" w:hAnsi="Times New Roman" w:cs="Times New Roman"/>
          <w:sz w:val="24"/>
          <w:szCs w:val="24"/>
        </w:rPr>
        <w:t xml:space="preserve"> </w:t>
      </w:r>
      <w:r w:rsidR="002A2024" w:rsidRPr="00073DB4">
        <w:rPr>
          <w:rFonts w:ascii="Times New Roman" w:hAnsi="Times New Roman" w:cs="Times New Roman"/>
          <w:sz w:val="24"/>
          <w:szCs w:val="24"/>
        </w:rPr>
        <w:t xml:space="preserve">improvement is </w:t>
      </w:r>
      <w:r w:rsidR="008B240E">
        <w:rPr>
          <w:rFonts w:ascii="Times New Roman" w:hAnsi="Times New Roman" w:cs="Times New Roman"/>
          <w:sz w:val="24"/>
          <w:szCs w:val="24"/>
        </w:rPr>
        <w:t>larger</w:t>
      </w:r>
      <w:r w:rsidR="002A2024" w:rsidRPr="00073DB4">
        <w:rPr>
          <w:rFonts w:ascii="Times New Roman" w:hAnsi="Times New Roman" w:cs="Times New Roman"/>
          <w:sz w:val="24"/>
          <w:szCs w:val="24"/>
        </w:rPr>
        <w:t xml:space="preserve"> for age groups around 40 (</w:t>
      </w:r>
      <w:r w:rsidR="00240E26">
        <w:rPr>
          <w:rFonts w:ascii="Times New Roman" w:hAnsi="Times New Roman" w:cs="Times New Roman"/>
          <w:sz w:val="24"/>
          <w:szCs w:val="24"/>
        </w:rPr>
        <w:t>a mortality</w:t>
      </w:r>
      <w:r w:rsidR="002F2A0E" w:rsidRPr="00073DB4">
        <w:rPr>
          <w:rFonts w:ascii="Times New Roman" w:hAnsi="Times New Roman" w:cs="Times New Roman"/>
          <w:sz w:val="24"/>
          <w:szCs w:val="24"/>
        </w:rPr>
        <w:t xml:space="preserve"> </w:t>
      </w:r>
      <w:r w:rsidR="002A2024" w:rsidRPr="00073DB4">
        <w:rPr>
          <w:rFonts w:ascii="Times New Roman" w:hAnsi="Times New Roman" w:cs="Times New Roman"/>
          <w:sz w:val="24"/>
          <w:szCs w:val="24"/>
        </w:rPr>
        <w:t xml:space="preserve">improvement rate </w:t>
      </w:r>
      <w:r w:rsidR="005A3493" w:rsidRPr="00073DB4">
        <w:rPr>
          <w:rFonts w:ascii="Times New Roman" w:hAnsi="Times New Roman" w:cs="Times New Roman"/>
          <w:sz w:val="24"/>
          <w:szCs w:val="24"/>
        </w:rPr>
        <w:t xml:space="preserve">of </w:t>
      </w:r>
      <w:r w:rsidR="002F2A0E" w:rsidRPr="00073DB4">
        <w:rPr>
          <w:rFonts w:ascii="Times New Roman" w:hAnsi="Times New Roman" w:cs="Times New Roman"/>
          <w:sz w:val="24"/>
          <w:szCs w:val="24"/>
        </w:rPr>
        <w:t>3</w:t>
      </w:r>
      <w:r w:rsidR="005A3493" w:rsidRPr="00073DB4">
        <w:rPr>
          <w:rFonts w:ascii="Times New Roman" w:hAnsi="Times New Roman" w:cs="Times New Roman"/>
          <w:sz w:val="24"/>
          <w:szCs w:val="24"/>
        </w:rPr>
        <w:t xml:space="preserve"> percent</w:t>
      </w:r>
      <w:r w:rsidR="002A2024" w:rsidRPr="00073DB4">
        <w:rPr>
          <w:rFonts w:ascii="Times New Roman" w:hAnsi="Times New Roman" w:cs="Times New Roman"/>
          <w:sz w:val="24"/>
          <w:szCs w:val="24"/>
        </w:rPr>
        <w:t>) and 65 (</w:t>
      </w:r>
      <w:r w:rsidR="00240E26">
        <w:rPr>
          <w:rFonts w:ascii="Times New Roman" w:hAnsi="Times New Roman" w:cs="Times New Roman"/>
          <w:sz w:val="24"/>
          <w:szCs w:val="24"/>
        </w:rPr>
        <w:t>a mortality</w:t>
      </w:r>
      <w:r w:rsidR="002F2A0E" w:rsidRPr="00073DB4">
        <w:rPr>
          <w:rFonts w:ascii="Times New Roman" w:hAnsi="Times New Roman" w:cs="Times New Roman"/>
          <w:sz w:val="24"/>
          <w:szCs w:val="24"/>
        </w:rPr>
        <w:t xml:space="preserve"> improvement rate </w:t>
      </w:r>
      <w:r w:rsidR="005A3493" w:rsidRPr="00073DB4">
        <w:rPr>
          <w:rFonts w:ascii="Times New Roman" w:hAnsi="Times New Roman" w:cs="Times New Roman"/>
          <w:sz w:val="24"/>
          <w:szCs w:val="24"/>
        </w:rPr>
        <w:t xml:space="preserve">of </w:t>
      </w:r>
      <w:r w:rsidR="002F2A0E" w:rsidRPr="00073DB4">
        <w:rPr>
          <w:rFonts w:ascii="Times New Roman" w:hAnsi="Times New Roman" w:cs="Times New Roman"/>
          <w:sz w:val="24"/>
          <w:szCs w:val="24"/>
        </w:rPr>
        <w:t>3.3</w:t>
      </w:r>
      <w:r w:rsidR="00367036">
        <w:rPr>
          <w:rFonts w:ascii="Times New Roman" w:hAnsi="Times New Roman" w:cs="Times New Roman"/>
          <w:sz w:val="24"/>
          <w:szCs w:val="24"/>
        </w:rPr>
        <w:t xml:space="preserve"> percent</w:t>
      </w:r>
      <w:r w:rsidR="002A2024" w:rsidRPr="00073DB4">
        <w:rPr>
          <w:rFonts w:ascii="Times New Roman" w:hAnsi="Times New Roman" w:cs="Times New Roman"/>
          <w:sz w:val="24"/>
          <w:szCs w:val="24"/>
        </w:rPr>
        <w:t>)</w:t>
      </w:r>
      <w:r w:rsidR="002F2A0E" w:rsidRPr="00073DB4">
        <w:rPr>
          <w:rFonts w:ascii="Times New Roman" w:hAnsi="Times New Roman" w:cs="Times New Roman"/>
          <w:sz w:val="24"/>
          <w:szCs w:val="24"/>
        </w:rPr>
        <w:t xml:space="preserve">. If a plan has more employees or retirees </w:t>
      </w:r>
      <w:r w:rsidR="005A3493" w:rsidRPr="00073DB4">
        <w:rPr>
          <w:rFonts w:ascii="Times New Roman" w:hAnsi="Times New Roman" w:cs="Times New Roman"/>
          <w:sz w:val="24"/>
          <w:szCs w:val="24"/>
        </w:rPr>
        <w:t xml:space="preserve">at </w:t>
      </w:r>
      <w:r w:rsidR="002F2A0E" w:rsidRPr="00073DB4">
        <w:rPr>
          <w:rFonts w:ascii="Times New Roman" w:hAnsi="Times New Roman" w:cs="Times New Roman"/>
          <w:sz w:val="24"/>
          <w:szCs w:val="24"/>
        </w:rPr>
        <w:t xml:space="preserve">these ages, the plan receives </w:t>
      </w:r>
      <w:r w:rsidR="005A3493" w:rsidRPr="00073DB4">
        <w:rPr>
          <w:rFonts w:ascii="Times New Roman" w:hAnsi="Times New Roman" w:cs="Times New Roman"/>
          <w:sz w:val="24"/>
          <w:szCs w:val="24"/>
        </w:rPr>
        <w:t>larger</w:t>
      </w:r>
      <w:r w:rsidR="002F2A0E" w:rsidRPr="00073DB4">
        <w:rPr>
          <w:rFonts w:ascii="Times New Roman" w:hAnsi="Times New Roman" w:cs="Times New Roman"/>
          <w:sz w:val="24"/>
          <w:szCs w:val="24"/>
        </w:rPr>
        <w:t xml:space="preserve"> effects from updating the</w:t>
      </w:r>
      <w:r w:rsidR="005A3493" w:rsidRPr="00073DB4">
        <w:rPr>
          <w:rFonts w:ascii="Times New Roman" w:hAnsi="Times New Roman" w:cs="Times New Roman"/>
          <w:sz w:val="24"/>
          <w:szCs w:val="24"/>
        </w:rPr>
        <w:t>ir</w:t>
      </w:r>
      <w:r w:rsidR="002F2A0E" w:rsidRPr="00073DB4">
        <w:rPr>
          <w:rFonts w:ascii="Times New Roman" w:hAnsi="Times New Roman" w:cs="Times New Roman"/>
          <w:sz w:val="24"/>
          <w:szCs w:val="24"/>
        </w:rPr>
        <w:t xml:space="preserve"> mortality table. </w:t>
      </w:r>
    </w:p>
    <w:p w14:paraId="24F5EBC8" w14:textId="582B273A" w:rsidR="00033521" w:rsidRDefault="00033521" w:rsidP="00033521">
      <w:pPr>
        <w:spacing w:after="0" w:line="480" w:lineRule="auto"/>
        <w:contextualSpacing/>
        <w:rPr>
          <w:rFonts w:ascii="Times New Roman" w:hAnsi="Times New Roman" w:cs="Times New Roman"/>
          <w:b/>
          <w:sz w:val="24"/>
          <w:szCs w:val="24"/>
        </w:rPr>
      </w:pPr>
      <w:r>
        <w:rPr>
          <w:rFonts w:ascii="Times New Roman" w:hAnsi="Times New Roman" w:cs="Times New Roman"/>
          <w:b/>
          <w:sz w:val="24"/>
          <w:szCs w:val="24"/>
        </w:rPr>
        <w:t xml:space="preserve">Lengthening </w:t>
      </w:r>
      <w:r w:rsidR="00BD702E">
        <w:rPr>
          <w:rFonts w:ascii="Times New Roman" w:hAnsi="Times New Roman" w:cs="Times New Roman"/>
          <w:b/>
          <w:sz w:val="24"/>
          <w:szCs w:val="24"/>
        </w:rPr>
        <w:t>the Amortization Period</w:t>
      </w:r>
    </w:p>
    <w:p w14:paraId="16564525" w14:textId="4D387A27" w:rsidR="00033521" w:rsidRDefault="0080347E" w:rsidP="0080347E">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FD6B93">
        <w:rPr>
          <w:rFonts w:ascii="Times New Roman" w:hAnsi="Times New Roman" w:cs="Times New Roman"/>
          <w:sz w:val="24"/>
          <w:szCs w:val="24"/>
        </w:rPr>
        <w:t>As shown in f</w:t>
      </w:r>
      <w:r w:rsidR="00033521">
        <w:rPr>
          <w:rFonts w:ascii="Times New Roman" w:hAnsi="Times New Roman" w:cs="Times New Roman"/>
          <w:sz w:val="24"/>
          <w:szCs w:val="24"/>
        </w:rPr>
        <w:t xml:space="preserve">igure </w:t>
      </w:r>
      <w:r w:rsidR="002E7EDB">
        <w:rPr>
          <w:rFonts w:ascii="Times New Roman" w:hAnsi="Times New Roman" w:cs="Times New Roman"/>
          <w:sz w:val="24"/>
          <w:szCs w:val="24"/>
        </w:rPr>
        <w:t>4</w:t>
      </w:r>
      <w:r w:rsidR="00033521">
        <w:rPr>
          <w:rFonts w:ascii="Times New Roman" w:hAnsi="Times New Roman" w:cs="Times New Roman"/>
          <w:sz w:val="24"/>
          <w:szCs w:val="24"/>
        </w:rPr>
        <w:t>, when the median</w:t>
      </w:r>
      <w:r w:rsidR="0063429A">
        <w:rPr>
          <w:rFonts w:ascii="Times New Roman" w:hAnsi="Times New Roman" w:cs="Times New Roman"/>
          <w:sz w:val="24"/>
          <w:szCs w:val="24"/>
        </w:rPr>
        <w:t xml:space="preserve"> </w:t>
      </w:r>
      <w:r w:rsidR="00033521">
        <w:rPr>
          <w:rFonts w:ascii="Times New Roman" w:hAnsi="Times New Roman" w:cs="Times New Roman"/>
          <w:sz w:val="24"/>
          <w:szCs w:val="24"/>
        </w:rPr>
        <w:t xml:space="preserve">plan increases its amortization period from 10 to 20 years, the ARC is reduced by 4.39 percent. </w:t>
      </w:r>
      <w:r>
        <w:rPr>
          <w:rFonts w:ascii="Times New Roman" w:hAnsi="Times New Roman" w:cs="Times New Roman"/>
          <w:sz w:val="24"/>
          <w:szCs w:val="24"/>
        </w:rPr>
        <w:t>That accounts for a $105 million reduction in budgetary costs for a plan with a median</w:t>
      </w:r>
      <w:r w:rsidR="0063429A">
        <w:rPr>
          <w:rFonts w:ascii="Times New Roman" w:hAnsi="Times New Roman" w:cs="Times New Roman"/>
          <w:sz w:val="24"/>
          <w:szCs w:val="24"/>
        </w:rPr>
        <w:t>-</w:t>
      </w:r>
      <w:r>
        <w:rPr>
          <w:rFonts w:ascii="Times New Roman" w:hAnsi="Times New Roman" w:cs="Times New Roman"/>
          <w:sz w:val="24"/>
          <w:szCs w:val="24"/>
        </w:rPr>
        <w:t>sized payroll. Once the amortization period reaches</w:t>
      </w:r>
      <w:r w:rsidR="00033521">
        <w:rPr>
          <w:rFonts w:ascii="Times New Roman" w:hAnsi="Times New Roman" w:cs="Times New Roman"/>
          <w:sz w:val="24"/>
          <w:szCs w:val="24"/>
        </w:rPr>
        <w:t xml:space="preserve"> 40 years, a ten year increase has</w:t>
      </w:r>
      <w:r>
        <w:rPr>
          <w:rFonts w:ascii="Times New Roman" w:hAnsi="Times New Roman" w:cs="Times New Roman"/>
          <w:sz w:val="24"/>
          <w:szCs w:val="24"/>
        </w:rPr>
        <w:t xml:space="preserve"> a</w:t>
      </w:r>
      <w:r w:rsidR="00033521">
        <w:rPr>
          <w:rFonts w:ascii="Times New Roman" w:hAnsi="Times New Roman" w:cs="Times New Roman"/>
          <w:sz w:val="24"/>
          <w:szCs w:val="24"/>
        </w:rPr>
        <w:t xml:space="preserve"> very small effect (less than </w:t>
      </w:r>
      <w:r>
        <w:rPr>
          <w:rFonts w:ascii="Times New Roman" w:hAnsi="Times New Roman" w:cs="Times New Roman"/>
          <w:sz w:val="24"/>
          <w:szCs w:val="24"/>
        </w:rPr>
        <w:t>one</w:t>
      </w:r>
      <w:r w:rsidR="00033521">
        <w:rPr>
          <w:rFonts w:ascii="Times New Roman" w:hAnsi="Times New Roman" w:cs="Times New Roman"/>
          <w:sz w:val="24"/>
          <w:szCs w:val="24"/>
        </w:rPr>
        <w:t xml:space="preserve"> percent of payroll). This is because longer amortization period</w:t>
      </w:r>
      <w:r w:rsidR="0063429A">
        <w:rPr>
          <w:rFonts w:ascii="Times New Roman" w:hAnsi="Times New Roman" w:cs="Times New Roman"/>
          <w:sz w:val="24"/>
          <w:szCs w:val="24"/>
        </w:rPr>
        <w:t>s</w:t>
      </w:r>
      <w:r>
        <w:rPr>
          <w:rFonts w:ascii="Times New Roman" w:hAnsi="Times New Roman" w:cs="Times New Roman"/>
          <w:sz w:val="24"/>
          <w:szCs w:val="24"/>
        </w:rPr>
        <w:t xml:space="preserve"> spread the unfunded liability payment over many years</w:t>
      </w:r>
      <w:r w:rsidR="00033521">
        <w:rPr>
          <w:rFonts w:ascii="Times New Roman" w:hAnsi="Times New Roman" w:cs="Times New Roman"/>
          <w:sz w:val="24"/>
          <w:szCs w:val="24"/>
        </w:rPr>
        <w:t xml:space="preserve">. </w:t>
      </w:r>
    </w:p>
    <w:p w14:paraId="08006D84" w14:textId="77777777" w:rsidR="008B240E" w:rsidRDefault="008B240E" w:rsidP="008B240E">
      <w:pPr>
        <w:spacing w:after="0" w:line="480" w:lineRule="auto"/>
        <w:contextualSpacing/>
        <w:jc w:val="center"/>
        <w:rPr>
          <w:rFonts w:ascii="Times New Roman" w:hAnsi="Times New Roman" w:cs="Times New Roman"/>
          <w:sz w:val="24"/>
          <w:szCs w:val="24"/>
        </w:rPr>
      </w:pPr>
      <w:r>
        <w:rPr>
          <w:rFonts w:ascii="Times New Roman" w:hAnsi="Times New Roman" w:cs="Times New Roman"/>
          <w:sz w:val="24"/>
          <w:szCs w:val="24"/>
        </w:rPr>
        <w:t>&lt;Figure 4&gt;</w:t>
      </w:r>
    </w:p>
    <w:p w14:paraId="0963212A" w14:textId="21F44954" w:rsidR="00033521" w:rsidRDefault="0080347E" w:rsidP="0080347E">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There is no unfunded liability when </w:t>
      </w:r>
      <w:r w:rsidR="0063429A">
        <w:rPr>
          <w:rFonts w:ascii="Times New Roman" w:hAnsi="Times New Roman" w:cs="Times New Roman"/>
          <w:sz w:val="24"/>
          <w:szCs w:val="24"/>
        </w:rPr>
        <w:t>a</w:t>
      </w:r>
      <w:r>
        <w:rPr>
          <w:rFonts w:ascii="Times New Roman" w:hAnsi="Times New Roman" w:cs="Times New Roman"/>
          <w:sz w:val="24"/>
          <w:szCs w:val="24"/>
        </w:rPr>
        <w:t xml:space="preserve"> funding ratio is 100</w:t>
      </w:r>
      <w:r w:rsidR="00367036">
        <w:rPr>
          <w:rFonts w:ascii="Times New Roman" w:hAnsi="Times New Roman" w:cs="Times New Roman"/>
          <w:sz w:val="24"/>
          <w:szCs w:val="24"/>
        </w:rPr>
        <w:t xml:space="preserve"> percent</w:t>
      </w:r>
      <w:r>
        <w:rPr>
          <w:rFonts w:ascii="Times New Roman" w:hAnsi="Times New Roman" w:cs="Times New Roman"/>
          <w:sz w:val="24"/>
          <w:szCs w:val="24"/>
        </w:rPr>
        <w:t xml:space="preserve">, so there is no </w:t>
      </w:r>
      <w:r w:rsidR="008D74D5">
        <w:rPr>
          <w:rFonts w:ascii="Times New Roman" w:hAnsi="Times New Roman" w:cs="Times New Roman"/>
          <w:sz w:val="24"/>
          <w:szCs w:val="24"/>
        </w:rPr>
        <w:t xml:space="preserve">effect </w:t>
      </w:r>
      <w:r>
        <w:rPr>
          <w:rFonts w:ascii="Times New Roman" w:hAnsi="Times New Roman" w:cs="Times New Roman"/>
          <w:sz w:val="24"/>
          <w:szCs w:val="24"/>
        </w:rPr>
        <w:t xml:space="preserve">from re-amortizing the liability. </w:t>
      </w:r>
      <w:r w:rsidR="0063429A">
        <w:rPr>
          <w:rFonts w:ascii="Times New Roman" w:hAnsi="Times New Roman" w:cs="Times New Roman"/>
          <w:sz w:val="24"/>
          <w:szCs w:val="24"/>
        </w:rPr>
        <w:t xml:space="preserve">Sponsors only </w:t>
      </w:r>
      <w:r>
        <w:rPr>
          <w:rFonts w:ascii="Times New Roman" w:hAnsi="Times New Roman" w:cs="Times New Roman"/>
          <w:sz w:val="24"/>
          <w:szCs w:val="24"/>
        </w:rPr>
        <w:t>benefit</w:t>
      </w:r>
      <w:r w:rsidR="0063429A">
        <w:rPr>
          <w:rFonts w:ascii="Times New Roman" w:hAnsi="Times New Roman" w:cs="Times New Roman"/>
          <w:sz w:val="24"/>
          <w:szCs w:val="24"/>
        </w:rPr>
        <w:t xml:space="preserve"> from re-amortizing when they have an </w:t>
      </w:r>
      <w:r w:rsidR="0063429A">
        <w:rPr>
          <w:rFonts w:ascii="Times New Roman" w:hAnsi="Times New Roman" w:cs="Times New Roman"/>
          <w:sz w:val="24"/>
          <w:szCs w:val="24"/>
        </w:rPr>
        <w:lastRenderedPageBreak/>
        <w:t xml:space="preserve">unfunded liability, and the size of the benefit increases as unfunded liabilities increase. </w:t>
      </w:r>
      <w:r w:rsidR="00033521">
        <w:rPr>
          <w:rFonts w:ascii="Times New Roman" w:hAnsi="Times New Roman" w:cs="Times New Roman"/>
          <w:sz w:val="24"/>
          <w:szCs w:val="24"/>
        </w:rPr>
        <w:t>If asset</w:t>
      </w:r>
      <w:r>
        <w:rPr>
          <w:rFonts w:ascii="Times New Roman" w:hAnsi="Times New Roman" w:cs="Times New Roman"/>
          <w:sz w:val="24"/>
          <w:szCs w:val="24"/>
        </w:rPr>
        <w:t>s</w:t>
      </w:r>
      <w:r w:rsidR="00033521">
        <w:rPr>
          <w:rFonts w:ascii="Times New Roman" w:hAnsi="Times New Roman" w:cs="Times New Roman"/>
          <w:sz w:val="24"/>
          <w:szCs w:val="24"/>
        </w:rPr>
        <w:t xml:space="preserve"> cover 90 percent of the liabilit</w:t>
      </w:r>
      <w:r>
        <w:rPr>
          <w:rFonts w:ascii="Times New Roman" w:hAnsi="Times New Roman" w:cs="Times New Roman"/>
          <w:sz w:val="24"/>
          <w:szCs w:val="24"/>
        </w:rPr>
        <w:t>y</w:t>
      </w:r>
      <w:r w:rsidR="00033521">
        <w:rPr>
          <w:rFonts w:ascii="Times New Roman" w:hAnsi="Times New Roman" w:cs="Times New Roman"/>
          <w:sz w:val="24"/>
          <w:szCs w:val="24"/>
        </w:rPr>
        <w:t xml:space="preserve">, the UAAL is small and the length of amortization period </w:t>
      </w:r>
      <w:r>
        <w:rPr>
          <w:rFonts w:ascii="Times New Roman" w:hAnsi="Times New Roman" w:cs="Times New Roman"/>
          <w:sz w:val="24"/>
          <w:szCs w:val="24"/>
        </w:rPr>
        <w:t>has a relatively smaller effect on the ARC</w:t>
      </w:r>
      <w:r w:rsidR="00033521">
        <w:rPr>
          <w:rFonts w:ascii="Times New Roman" w:hAnsi="Times New Roman" w:cs="Times New Roman"/>
          <w:sz w:val="24"/>
          <w:szCs w:val="24"/>
        </w:rPr>
        <w:t xml:space="preserve">. Increasing the amortization period from 10 to 20 years </w:t>
      </w:r>
      <w:r>
        <w:rPr>
          <w:rFonts w:ascii="Times New Roman" w:hAnsi="Times New Roman" w:cs="Times New Roman"/>
          <w:sz w:val="24"/>
          <w:szCs w:val="24"/>
        </w:rPr>
        <w:t>for a plan that is 90 percent funded redu</w:t>
      </w:r>
      <w:r w:rsidR="00033521">
        <w:rPr>
          <w:rFonts w:ascii="Times New Roman" w:hAnsi="Times New Roman" w:cs="Times New Roman"/>
          <w:sz w:val="24"/>
          <w:szCs w:val="24"/>
        </w:rPr>
        <w:t xml:space="preserve">ces the ARC by 3 percentage points. When </w:t>
      </w:r>
      <w:r>
        <w:rPr>
          <w:rFonts w:ascii="Times New Roman" w:hAnsi="Times New Roman" w:cs="Times New Roman"/>
          <w:sz w:val="24"/>
          <w:szCs w:val="24"/>
        </w:rPr>
        <w:t xml:space="preserve">a plan is </w:t>
      </w:r>
      <w:r w:rsidR="00033521">
        <w:rPr>
          <w:rFonts w:ascii="Times New Roman" w:hAnsi="Times New Roman" w:cs="Times New Roman"/>
          <w:sz w:val="24"/>
          <w:szCs w:val="24"/>
        </w:rPr>
        <w:t>60 percent</w:t>
      </w:r>
      <w:r>
        <w:rPr>
          <w:rFonts w:ascii="Times New Roman" w:hAnsi="Times New Roman" w:cs="Times New Roman"/>
          <w:sz w:val="24"/>
          <w:szCs w:val="24"/>
        </w:rPr>
        <w:t xml:space="preserve"> funded</w:t>
      </w:r>
      <w:r w:rsidR="00033521">
        <w:rPr>
          <w:rFonts w:ascii="Times New Roman" w:hAnsi="Times New Roman" w:cs="Times New Roman"/>
          <w:sz w:val="24"/>
          <w:szCs w:val="24"/>
        </w:rPr>
        <w:t xml:space="preserve">, the selection of the amortization period is </w:t>
      </w:r>
      <w:r>
        <w:rPr>
          <w:rFonts w:ascii="Times New Roman" w:hAnsi="Times New Roman" w:cs="Times New Roman"/>
          <w:sz w:val="24"/>
          <w:szCs w:val="24"/>
        </w:rPr>
        <w:t xml:space="preserve">more </w:t>
      </w:r>
      <w:r w:rsidR="00033521">
        <w:rPr>
          <w:rFonts w:ascii="Times New Roman" w:hAnsi="Times New Roman" w:cs="Times New Roman"/>
          <w:sz w:val="24"/>
          <w:szCs w:val="24"/>
        </w:rPr>
        <w:t>important. At 60 percent funded, increasing the amortization period from 10 years to 20 years reduces the ARC by 12 percent</w:t>
      </w:r>
      <w:r>
        <w:rPr>
          <w:rFonts w:ascii="Times New Roman" w:hAnsi="Times New Roman" w:cs="Times New Roman"/>
          <w:sz w:val="24"/>
          <w:szCs w:val="24"/>
        </w:rPr>
        <w:t xml:space="preserve">age points (equivalent to $288 million </w:t>
      </w:r>
      <w:r w:rsidR="008B240E">
        <w:rPr>
          <w:rFonts w:ascii="Times New Roman" w:hAnsi="Times New Roman" w:cs="Times New Roman"/>
          <w:sz w:val="24"/>
          <w:szCs w:val="24"/>
        </w:rPr>
        <w:t xml:space="preserve">in budget savings </w:t>
      </w:r>
      <w:r>
        <w:rPr>
          <w:rFonts w:ascii="Times New Roman" w:hAnsi="Times New Roman" w:cs="Times New Roman"/>
          <w:sz w:val="24"/>
          <w:szCs w:val="24"/>
        </w:rPr>
        <w:t>for a plan with a median-sized payroll)</w:t>
      </w:r>
      <w:r w:rsidR="00033521">
        <w:rPr>
          <w:rFonts w:ascii="Times New Roman" w:hAnsi="Times New Roman" w:cs="Times New Roman"/>
          <w:sz w:val="24"/>
          <w:szCs w:val="24"/>
        </w:rPr>
        <w:t xml:space="preserve">. </w:t>
      </w:r>
    </w:p>
    <w:p w14:paraId="535FED43" w14:textId="3FD67ABE" w:rsidR="00B92F31" w:rsidRPr="00BD702E" w:rsidRDefault="00BD702E" w:rsidP="00BD702E">
      <w:pPr>
        <w:spacing w:after="0" w:line="480" w:lineRule="auto"/>
        <w:contextualSpacing/>
        <w:rPr>
          <w:rFonts w:ascii="Times New Roman" w:hAnsi="Times New Roman" w:cs="Times New Roman"/>
          <w:sz w:val="28"/>
          <w:szCs w:val="24"/>
        </w:rPr>
      </w:pPr>
      <w:r>
        <w:rPr>
          <w:rFonts w:ascii="Times New Roman" w:hAnsi="Times New Roman" w:cs="Times New Roman"/>
          <w:sz w:val="28"/>
          <w:szCs w:val="24"/>
        </w:rPr>
        <w:t>Discussion and</w:t>
      </w:r>
      <w:r w:rsidRPr="00BD702E">
        <w:rPr>
          <w:rFonts w:ascii="Times New Roman" w:hAnsi="Times New Roman" w:cs="Times New Roman"/>
          <w:sz w:val="28"/>
          <w:szCs w:val="24"/>
        </w:rPr>
        <w:t xml:space="preserve"> Conclusion</w:t>
      </w:r>
    </w:p>
    <w:p w14:paraId="0AB313E5" w14:textId="77777777" w:rsidR="00240E26" w:rsidRDefault="005F3C88" w:rsidP="00E41D67">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053C77">
        <w:rPr>
          <w:rFonts w:ascii="Times New Roman" w:hAnsi="Times New Roman" w:cs="Times New Roman"/>
          <w:sz w:val="24"/>
          <w:szCs w:val="24"/>
        </w:rPr>
        <w:t>The financial condition of public pensions is an important policy concern in many state and local governments. Those concerns, and the</w:t>
      </w:r>
      <w:r w:rsidR="00E52E08">
        <w:rPr>
          <w:rFonts w:ascii="Times New Roman" w:hAnsi="Times New Roman" w:cs="Times New Roman"/>
          <w:sz w:val="24"/>
          <w:szCs w:val="24"/>
        </w:rPr>
        <w:t xml:space="preserve"> policy debates to which they contribute, </w:t>
      </w:r>
      <w:r w:rsidR="00053C77">
        <w:rPr>
          <w:rFonts w:ascii="Times New Roman" w:hAnsi="Times New Roman" w:cs="Times New Roman"/>
          <w:sz w:val="24"/>
          <w:szCs w:val="24"/>
        </w:rPr>
        <w:t xml:space="preserve">are significantly affected by how we measure </w:t>
      </w:r>
      <w:r w:rsidR="000C45C8">
        <w:rPr>
          <w:rFonts w:ascii="Times New Roman" w:hAnsi="Times New Roman" w:cs="Times New Roman"/>
          <w:sz w:val="24"/>
          <w:szCs w:val="24"/>
        </w:rPr>
        <w:t xml:space="preserve">the liabilities and contribution requirements of public pensions. This paper uses a simulation research design to examine how the selection of different actuarial inputs </w:t>
      </w:r>
      <w:r w:rsidR="003016F6">
        <w:rPr>
          <w:rFonts w:ascii="Times New Roman" w:hAnsi="Times New Roman" w:cs="Times New Roman"/>
          <w:sz w:val="24"/>
          <w:szCs w:val="24"/>
        </w:rPr>
        <w:t>a</w:t>
      </w:r>
      <w:r w:rsidR="000C45C8">
        <w:rPr>
          <w:rFonts w:ascii="Times New Roman" w:hAnsi="Times New Roman" w:cs="Times New Roman"/>
          <w:sz w:val="24"/>
          <w:szCs w:val="24"/>
        </w:rPr>
        <w:t>ffect</w:t>
      </w:r>
      <w:r w:rsidR="003016F6">
        <w:rPr>
          <w:rFonts w:ascii="Times New Roman" w:hAnsi="Times New Roman" w:cs="Times New Roman"/>
          <w:sz w:val="24"/>
          <w:szCs w:val="24"/>
        </w:rPr>
        <w:t>s</w:t>
      </w:r>
      <w:r w:rsidR="000C45C8">
        <w:rPr>
          <w:rFonts w:ascii="Times New Roman" w:hAnsi="Times New Roman" w:cs="Times New Roman"/>
          <w:sz w:val="24"/>
          <w:szCs w:val="24"/>
        </w:rPr>
        <w:t xml:space="preserve"> the reported size of pension liabilities (presented as funding ratios) and contribution requirements (presented as annual required contribution as a share of payroll). The results of the simulation illustrate that discount rates, salary growth rate assumptions, cost methods, mortality tables, and amortization periods all greatly influence funding ratios and contribution requirements. </w:t>
      </w:r>
    </w:p>
    <w:p w14:paraId="06CB64EA" w14:textId="77777777" w:rsidR="00280EE4" w:rsidRDefault="00240E26" w:rsidP="00E41D67">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280EE4">
        <w:rPr>
          <w:rFonts w:ascii="Times New Roman" w:hAnsi="Times New Roman" w:cs="Times New Roman"/>
          <w:sz w:val="24"/>
          <w:szCs w:val="24"/>
        </w:rPr>
        <w:t xml:space="preserve">The findings suggest that all forms of actuarial inputs deserve further attention from policy researchers and should be controlled for in empirical research. </w:t>
      </w:r>
      <w:r>
        <w:rPr>
          <w:rFonts w:ascii="Times New Roman" w:hAnsi="Times New Roman" w:cs="Times New Roman"/>
          <w:sz w:val="24"/>
          <w:szCs w:val="24"/>
        </w:rPr>
        <w:t>As expected, f</w:t>
      </w:r>
      <w:r w:rsidR="000C45C8">
        <w:rPr>
          <w:rFonts w:ascii="Times New Roman" w:hAnsi="Times New Roman" w:cs="Times New Roman"/>
          <w:sz w:val="24"/>
          <w:szCs w:val="24"/>
        </w:rPr>
        <w:t>unding ratios are especially affected by changes in the discount rate. Contribution requirements are influenced by changes in discount rates</w:t>
      </w:r>
      <w:r>
        <w:rPr>
          <w:rFonts w:ascii="Times New Roman" w:hAnsi="Times New Roman" w:cs="Times New Roman"/>
          <w:sz w:val="24"/>
          <w:szCs w:val="24"/>
        </w:rPr>
        <w:t xml:space="preserve"> but are even more affected by changes in </w:t>
      </w:r>
      <w:r w:rsidR="000C45C8">
        <w:rPr>
          <w:rFonts w:ascii="Times New Roman" w:hAnsi="Times New Roman" w:cs="Times New Roman"/>
          <w:sz w:val="24"/>
          <w:szCs w:val="24"/>
        </w:rPr>
        <w:t xml:space="preserve">salary growth rate assumptions. </w:t>
      </w:r>
      <w:r>
        <w:rPr>
          <w:rFonts w:ascii="Times New Roman" w:hAnsi="Times New Roman" w:cs="Times New Roman"/>
          <w:sz w:val="24"/>
          <w:szCs w:val="24"/>
        </w:rPr>
        <w:t xml:space="preserve">Most plans, however, are net expected to change their discount rates or salary growth rates by the full range of values. As such, </w:t>
      </w:r>
      <w:r w:rsidR="000C45C8">
        <w:rPr>
          <w:rFonts w:ascii="Times New Roman" w:hAnsi="Times New Roman" w:cs="Times New Roman"/>
          <w:sz w:val="24"/>
          <w:szCs w:val="24"/>
        </w:rPr>
        <w:t>we look</w:t>
      </w:r>
      <w:r>
        <w:rPr>
          <w:rFonts w:ascii="Times New Roman" w:hAnsi="Times New Roman" w:cs="Times New Roman"/>
          <w:sz w:val="24"/>
          <w:szCs w:val="24"/>
        </w:rPr>
        <w:t>ed</w:t>
      </w:r>
      <w:r w:rsidR="000C45C8">
        <w:rPr>
          <w:rFonts w:ascii="Times New Roman" w:hAnsi="Times New Roman" w:cs="Times New Roman"/>
          <w:sz w:val="24"/>
          <w:szCs w:val="24"/>
        </w:rPr>
        <w:t xml:space="preserve"> at small</w:t>
      </w:r>
      <w:r>
        <w:rPr>
          <w:rFonts w:ascii="Times New Roman" w:hAnsi="Times New Roman" w:cs="Times New Roman"/>
          <w:sz w:val="24"/>
          <w:szCs w:val="24"/>
        </w:rPr>
        <w:t>er</w:t>
      </w:r>
      <w:r w:rsidR="000C45C8">
        <w:rPr>
          <w:rFonts w:ascii="Times New Roman" w:hAnsi="Times New Roman" w:cs="Times New Roman"/>
          <w:sz w:val="24"/>
          <w:szCs w:val="24"/>
        </w:rPr>
        <w:t xml:space="preserve"> marginal changes to </w:t>
      </w:r>
      <w:r w:rsidR="000C45C8">
        <w:rPr>
          <w:rFonts w:ascii="Times New Roman" w:hAnsi="Times New Roman" w:cs="Times New Roman"/>
          <w:sz w:val="24"/>
          <w:szCs w:val="24"/>
        </w:rPr>
        <w:lastRenderedPageBreak/>
        <w:t xml:space="preserve">discount rates or salary growth rate assumptions (such as .25 or .50 percentage point changes), the effect </w:t>
      </w:r>
      <w:r w:rsidR="00280EE4">
        <w:rPr>
          <w:rFonts w:ascii="Times New Roman" w:hAnsi="Times New Roman" w:cs="Times New Roman"/>
          <w:sz w:val="24"/>
          <w:szCs w:val="24"/>
        </w:rPr>
        <w:t xml:space="preserve">of those changes </w:t>
      </w:r>
      <w:r w:rsidR="000C45C8">
        <w:rPr>
          <w:rFonts w:ascii="Times New Roman" w:hAnsi="Times New Roman" w:cs="Times New Roman"/>
          <w:sz w:val="24"/>
          <w:szCs w:val="24"/>
        </w:rPr>
        <w:t xml:space="preserve">on funding ratios and contribution requirements is similar, if not smaller, than the effect </w:t>
      </w:r>
      <w:r w:rsidR="00280EE4">
        <w:rPr>
          <w:rFonts w:ascii="Times New Roman" w:hAnsi="Times New Roman" w:cs="Times New Roman"/>
          <w:sz w:val="24"/>
          <w:szCs w:val="24"/>
        </w:rPr>
        <w:t xml:space="preserve">of </w:t>
      </w:r>
      <w:r w:rsidR="000C45C8">
        <w:rPr>
          <w:rFonts w:ascii="Times New Roman" w:hAnsi="Times New Roman" w:cs="Times New Roman"/>
          <w:sz w:val="24"/>
          <w:szCs w:val="24"/>
        </w:rPr>
        <w:t xml:space="preserve">changing cost methods or updating mortality tables. </w:t>
      </w:r>
    </w:p>
    <w:p w14:paraId="66468CC6" w14:textId="69900516" w:rsidR="00C71643" w:rsidRDefault="00280EE4" w:rsidP="00E41D67">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The influence of actuarial inputs, other than the discount rate, </w:t>
      </w:r>
      <w:r w:rsidR="00E41D67">
        <w:rPr>
          <w:rFonts w:ascii="Times New Roman" w:hAnsi="Times New Roman" w:cs="Times New Roman"/>
          <w:sz w:val="24"/>
          <w:szCs w:val="24"/>
        </w:rPr>
        <w:t xml:space="preserve">also </w:t>
      </w:r>
      <w:r>
        <w:rPr>
          <w:rFonts w:ascii="Times New Roman" w:hAnsi="Times New Roman" w:cs="Times New Roman"/>
          <w:sz w:val="24"/>
          <w:szCs w:val="24"/>
        </w:rPr>
        <w:t xml:space="preserve">shows </w:t>
      </w:r>
      <w:r w:rsidR="00E41D67">
        <w:rPr>
          <w:rFonts w:ascii="Times New Roman" w:hAnsi="Times New Roman" w:cs="Times New Roman"/>
          <w:sz w:val="24"/>
          <w:szCs w:val="24"/>
        </w:rPr>
        <w:t>that there are many ways to influence the reported condition of public pension systems without actually changing the fundamental financial health of the plan</w:t>
      </w:r>
      <w:r>
        <w:rPr>
          <w:rFonts w:ascii="Times New Roman" w:hAnsi="Times New Roman" w:cs="Times New Roman"/>
          <w:sz w:val="24"/>
          <w:szCs w:val="24"/>
        </w:rPr>
        <w:t>. Many of those actuarial input changes do not receive significant outside review</w:t>
      </w:r>
      <w:r w:rsidR="00E41D67">
        <w:rPr>
          <w:rFonts w:ascii="Times New Roman" w:hAnsi="Times New Roman" w:cs="Times New Roman"/>
          <w:sz w:val="24"/>
          <w:szCs w:val="24"/>
        </w:rPr>
        <w:t xml:space="preserve">. Governments and citizen groups should </w:t>
      </w:r>
      <w:r w:rsidR="008B240E">
        <w:rPr>
          <w:rFonts w:ascii="Times New Roman" w:hAnsi="Times New Roman" w:cs="Times New Roman"/>
          <w:sz w:val="24"/>
          <w:szCs w:val="24"/>
        </w:rPr>
        <w:t xml:space="preserve">consider </w:t>
      </w:r>
      <w:r w:rsidR="00E41D67">
        <w:rPr>
          <w:rFonts w:ascii="Times New Roman" w:hAnsi="Times New Roman" w:cs="Times New Roman"/>
          <w:sz w:val="24"/>
          <w:szCs w:val="24"/>
        </w:rPr>
        <w:t>conduct</w:t>
      </w:r>
      <w:r w:rsidR="008B240E">
        <w:rPr>
          <w:rFonts w:ascii="Times New Roman" w:hAnsi="Times New Roman" w:cs="Times New Roman"/>
          <w:sz w:val="24"/>
          <w:szCs w:val="24"/>
        </w:rPr>
        <w:t>ing</w:t>
      </w:r>
      <w:r w:rsidR="00E41D67">
        <w:rPr>
          <w:rFonts w:ascii="Times New Roman" w:hAnsi="Times New Roman" w:cs="Times New Roman"/>
          <w:sz w:val="24"/>
          <w:szCs w:val="24"/>
        </w:rPr>
        <w:t xml:space="preserve"> independent reviews of the actuarial inputs used to value their pension liabilities to ensure that trustees are selecting actuarial inputs that do not put future taxpayers at risk. </w:t>
      </w:r>
      <w:r w:rsidR="00E41D67">
        <w:rPr>
          <w:rFonts w:ascii="Times New Roman" w:hAnsi="Times New Roman" w:cs="Times New Roman"/>
          <w:sz w:val="24"/>
          <w:szCs w:val="24"/>
        </w:rPr>
        <w:br/>
      </w:r>
      <w:r w:rsidR="00E41D67">
        <w:rPr>
          <w:rFonts w:ascii="Times New Roman" w:hAnsi="Times New Roman" w:cs="Times New Roman"/>
          <w:sz w:val="24"/>
          <w:szCs w:val="24"/>
        </w:rPr>
        <w:tab/>
        <w:t xml:space="preserve">This research also demonstrates that plan characteristics have significant interactive </w:t>
      </w:r>
      <w:r w:rsidR="008D74D5">
        <w:rPr>
          <w:rFonts w:ascii="Times New Roman" w:hAnsi="Times New Roman" w:cs="Times New Roman"/>
          <w:sz w:val="24"/>
          <w:szCs w:val="24"/>
        </w:rPr>
        <w:t xml:space="preserve">effects </w:t>
      </w:r>
      <w:r w:rsidR="00E41D67">
        <w:rPr>
          <w:rFonts w:ascii="Times New Roman" w:hAnsi="Times New Roman" w:cs="Times New Roman"/>
          <w:sz w:val="24"/>
          <w:szCs w:val="24"/>
        </w:rPr>
        <w:t xml:space="preserve">with actuarial inputs. The demographic profile of pension systems is particularly important. </w:t>
      </w:r>
      <w:r w:rsidR="003D690E" w:rsidRPr="00FE7F9A">
        <w:rPr>
          <w:rFonts w:ascii="Times New Roman" w:hAnsi="Times New Roman" w:cs="Times New Roman"/>
          <w:sz w:val="24"/>
          <w:szCs w:val="24"/>
        </w:rPr>
        <w:t>When employee</w:t>
      </w:r>
      <w:r w:rsidR="00E41D67">
        <w:rPr>
          <w:rFonts w:ascii="Times New Roman" w:hAnsi="Times New Roman" w:cs="Times New Roman"/>
          <w:sz w:val="24"/>
          <w:szCs w:val="24"/>
        </w:rPr>
        <w:t>s are</w:t>
      </w:r>
      <w:r w:rsidR="00C71643">
        <w:rPr>
          <w:rFonts w:ascii="Times New Roman" w:hAnsi="Times New Roman" w:cs="Times New Roman"/>
          <w:sz w:val="24"/>
          <w:szCs w:val="24"/>
        </w:rPr>
        <w:t xml:space="preserve"> further from retirement, their true pension benefit is </w:t>
      </w:r>
      <w:r w:rsidR="003D690E" w:rsidRPr="00FE7F9A">
        <w:rPr>
          <w:rFonts w:ascii="Times New Roman" w:hAnsi="Times New Roman" w:cs="Times New Roman"/>
          <w:sz w:val="24"/>
          <w:szCs w:val="24"/>
        </w:rPr>
        <w:t>less certai</w:t>
      </w:r>
      <w:r w:rsidR="00C71643">
        <w:rPr>
          <w:rFonts w:ascii="Times New Roman" w:hAnsi="Times New Roman" w:cs="Times New Roman"/>
          <w:sz w:val="24"/>
          <w:szCs w:val="24"/>
        </w:rPr>
        <w:t xml:space="preserve">n. This simulation show that </w:t>
      </w:r>
      <w:r w:rsidR="003D690E" w:rsidRPr="00FE7F9A">
        <w:rPr>
          <w:rFonts w:ascii="Times New Roman" w:hAnsi="Times New Roman" w:cs="Times New Roman"/>
          <w:sz w:val="24"/>
          <w:szCs w:val="24"/>
        </w:rPr>
        <w:t>change</w:t>
      </w:r>
      <w:r w:rsidR="00C71643">
        <w:rPr>
          <w:rFonts w:ascii="Times New Roman" w:hAnsi="Times New Roman" w:cs="Times New Roman"/>
          <w:sz w:val="24"/>
          <w:szCs w:val="24"/>
        </w:rPr>
        <w:t>s</w:t>
      </w:r>
      <w:r w:rsidR="003D690E" w:rsidRPr="00FE7F9A">
        <w:rPr>
          <w:rFonts w:ascii="Times New Roman" w:hAnsi="Times New Roman" w:cs="Times New Roman"/>
          <w:sz w:val="24"/>
          <w:szCs w:val="24"/>
        </w:rPr>
        <w:t xml:space="preserve"> </w:t>
      </w:r>
      <w:r w:rsidR="00C71643">
        <w:rPr>
          <w:rFonts w:ascii="Times New Roman" w:hAnsi="Times New Roman" w:cs="Times New Roman"/>
          <w:sz w:val="24"/>
          <w:szCs w:val="24"/>
        </w:rPr>
        <w:t>to</w:t>
      </w:r>
      <w:r w:rsidR="003D690E" w:rsidRPr="00FE7F9A">
        <w:rPr>
          <w:rFonts w:ascii="Times New Roman" w:hAnsi="Times New Roman" w:cs="Times New Roman"/>
          <w:sz w:val="24"/>
          <w:szCs w:val="24"/>
        </w:rPr>
        <w:t xml:space="preserve"> </w:t>
      </w:r>
      <w:r w:rsidR="0006573D">
        <w:rPr>
          <w:rFonts w:ascii="Times New Roman" w:hAnsi="Times New Roman" w:cs="Times New Roman"/>
          <w:sz w:val="24"/>
          <w:szCs w:val="24"/>
        </w:rPr>
        <w:t>actuarial inputs</w:t>
      </w:r>
      <w:r w:rsidR="00C71643">
        <w:rPr>
          <w:rFonts w:ascii="Times New Roman" w:hAnsi="Times New Roman" w:cs="Times New Roman"/>
          <w:sz w:val="24"/>
          <w:szCs w:val="24"/>
        </w:rPr>
        <w:t xml:space="preserve"> for younger employees often has </w:t>
      </w:r>
      <w:r w:rsidR="003D690E" w:rsidRPr="00FE7F9A">
        <w:rPr>
          <w:rFonts w:ascii="Times New Roman" w:hAnsi="Times New Roman" w:cs="Times New Roman"/>
          <w:sz w:val="24"/>
          <w:szCs w:val="24"/>
        </w:rPr>
        <w:t xml:space="preserve">a </w:t>
      </w:r>
      <w:r w:rsidR="00C71643">
        <w:rPr>
          <w:rFonts w:ascii="Times New Roman" w:hAnsi="Times New Roman" w:cs="Times New Roman"/>
          <w:sz w:val="24"/>
          <w:szCs w:val="24"/>
        </w:rPr>
        <w:t>greater</w:t>
      </w:r>
      <w:r w:rsidR="00266E32" w:rsidRPr="00FE7F9A">
        <w:rPr>
          <w:rFonts w:ascii="Times New Roman" w:hAnsi="Times New Roman" w:cs="Times New Roman"/>
          <w:sz w:val="24"/>
          <w:szCs w:val="24"/>
        </w:rPr>
        <w:t xml:space="preserve"> </w:t>
      </w:r>
      <w:r w:rsidR="003D690E" w:rsidRPr="00FE7F9A">
        <w:rPr>
          <w:rFonts w:ascii="Times New Roman" w:hAnsi="Times New Roman" w:cs="Times New Roman"/>
          <w:sz w:val="24"/>
          <w:szCs w:val="24"/>
        </w:rPr>
        <w:t>effect</w:t>
      </w:r>
      <w:r w:rsidR="00266E32">
        <w:rPr>
          <w:rFonts w:ascii="Times New Roman" w:hAnsi="Times New Roman" w:cs="Times New Roman"/>
          <w:sz w:val="24"/>
          <w:szCs w:val="24"/>
        </w:rPr>
        <w:t xml:space="preserve"> </w:t>
      </w:r>
      <w:r w:rsidR="00C71643">
        <w:rPr>
          <w:rFonts w:ascii="Times New Roman" w:hAnsi="Times New Roman" w:cs="Times New Roman"/>
          <w:sz w:val="24"/>
          <w:szCs w:val="24"/>
        </w:rPr>
        <w:t xml:space="preserve">than for </w:t>
      </w:r>
      <w:r w:rsidR="003D690E" w:rsidRPr="00FE7F9A">
        <w:rPr>
          <w:rFonts w:ascii="Times New Roman" w:hAnsi="Times New Roman" w:cs="Times New Roman"/>
          <w:sz w:val="24"/>
          <w:szCs w:val="24"/>
        </w:rPr>
        <w:t xml:space="preserve">older </w:t>
      </w:r>
      <w:r w:rsidR="00C71643">
        <w:rPr>
          <w:rFonts w:ascii="Times New Roman" w:hAnsi="Times New Roman" w:cs="Times New Roman"/>
          <w:sz w:val="24"/>
          <w:szCs w:val="24"/>
        </w:rPr>
        <w:t>employees</w:t>
      </w:r>
      <w:r w:rsidR="00350E69">
        <w:rPr>
          <w:rFonts w:ascii="Times New Roman" w:hAnsi="Times New Roman" w:cs="Times New Roman"/>
          <w:sz w:val="24"/>
          <w:szCs w:val="24"/>
        </w:rPr>
        <w:t>, except for the expected salary growth rate</w:t>
      </w:r>
      <w:r w:rsidR="008B240E">
        <w:rPr>
          <w:rFonts w:ascii="Times New Roman" w:hAnsi="Times New Roman" w:cs="Times New Roman"/>
          <w:sz w:val="24"/>
          <w:szCs w:val="24"/>
        </w:rPr>
        <w:t>.</w:t>
      </w:r>
      <w:r w:rsidR="0006573D">
        <w:rPr>
          <w:rStyle w:val="FootnoteReference"/>
          <w:rFonts w:ascii="Times New Roman" w:hAnsi="Times New Roman" w:cs="Times New Roman"/>
          <w:sz w:val="24"/>
          <w:szCs w:val="24"/>
        </w:rPr>
        <w:footnoteReference w:id="2"/>
      </w:r>
      <w:r w:rsidR="003D690E" w:rsidRPr="00FE7F9A">
        <w:rPr>
          <w:rFonts w:ascii="Times New Roman" w:hAnsi="Times New Roman" w:cs="Times New Roman"/>
          <w:sz w:val="24"/>
          <w:szCs w:val="24"/>
        </w:rPr>
        <w:t xml:space="preserve"> </w:t>
      </w:r>
      <w:r>
        <w:rPr>
          <w:rFonts w:ascii="Times New Roman" w:hAnsi="Times New Roman" w:cs="Times New Roman"/>
          <w:sz w:val="24"/>
          <w:szCs w:val="24"/>
        </w:rPr>
        <w:t>This may suggest that some of the decline in funding ratios over the past decade may be related to more public workers approaching retirement and, therefore, a more accurate representation of pension liabilities.</w:t>
      </w:r>
    </w:p>
    <w:p w14:paraId="19A7076C" w14:textId="4BE49AA5" w:rsidR="003D690E" w:rsidRPr="00FE7F9A" w:rsidRDefault="00C71643" w:rsidP="00E41D67">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3D690E" w:rsidRPr="00FE7F9A">
        <w:rPr>
          <w:rFonts w:ascii="Times New Roman" w:hAnsi="Times New Roman" w:cs="Times New Roman"/>
          <w:sz w:val="24"/>
          <w:szCs w:val="24"/>
        </w:rPr>
        <w:t xml:space="preserve">Also, </w:t>
      </w:r>
      <w:r>
        <w:rPr>
          <w:rFonts w:ascii="Times New Roman" w:hAnsi="Times New Roman" w:cs="Times New Roman"/>
          <w:sz w:val="24"/>
          <w:szCs w:val="24"/>
        </w:rPr>
        <w:t xml:space="preserve">the simulation shows </w:t>
      </w:r>
      <w:r w:rsidR="00350E69">
        <w:rPr>
          <w:rFonts w:ascii="Times New Roman" w:hAnsi="Times New Roman" w:cs="Times New Roman"/>
          <w:sz w:val="24"/>
          <w:szCs w:val="24"/>
        </w:rPr>
        <w:t xml:space="preserve">that </w:t>
      </w:r>
      <w:r w:rsidR="003D690E" w:rsidRPr="00FE7F9A">
        <w:rPr>
          <w:rFonts w:ascii="Times New Roman" w:hAnsi="Times New Roman" w:cs="Times New Roman"/>
          <w:sz w:val="24"/>
          <w:szCs w:val="24"/>
        </w:rPr>
        <w:t>plan</w:t>
      </w:r>
      <w:r>
        <w:rPr>
          <w:rFonts w:ascii="Times New Roman" w:hAnsi="Times New Roman" w:cs="Times New Roman"/>
          <w:sz w:val="24"/>
          <w:szCs w:val="24"/>
        </w:rPr>
        <w:t>s</w:t>
      </w:r>
      <w:r w:rsidR="003D690E" w:rsidRPr="00FE7F9A">
        <w:rPr>
          <w:rFonts w:ascii="Times New Roman" w:hAnsi="Times New Roman" w:cs="Times New Roman"/>
          <w:sz w:val="24"/>
          <w:szCs w:val="24"/>
        </w:rPr>
        <w:t xml:space="preserve"> </w:t>
      </w:r>
      <w:r w:rsidR="00491293">
        <w:rPr>
          <w:rFonts w:ascii="Times New Roman" w:hAnsi="Times New Roman" w:cs="Times New Roman"/>
          <w:sz w:val="24"/>
          <w:szCs w:val="24"/>
        </w:rPr>
        <w:t xml:space="preserve">with </w:t>
      </w:r>
      <w:r>
        <w:rPr>
          <w:rFonts w:ascii="Times New Roman" w:hAnsi="Times New Roman" w:cs="Times New Roman"/>
          <w:sz w:val="24"/>
          <w:szCs w:val="24"/>
        </w:rPr>
        <w:t>more a</w:t>
      </w:r>
      <w:r w:rsidR="00350E69">
        <w:rPr>
          <w:rFonts w:ascii="Times New Roman" w:hAnsi="Times New Roman" w:cs="Times New Roman"/>
          <w:sz w:val="24"/>
          <w:szCs w:val="24"/>
        </w:rPr>
        <w:t>sset</w:t>
      </w:r>
      <w:r w:rsidR="009B1694">
        <w:rPr>
          <w:rFonts w:ascii="Times New Roman" w:hAnsi="Times New Roman" w:cs="Times New Roman"/>
          <w:sz w:val="24"/>
          <w:szCs w:val="24"/>
        </w:rPr>
        <w:t>s</w:t>
      </w:r>
      <w:r w:rsidR="003D690E" w:rsidRPr="00FE7F9A">
        <w:rPr>
          <w:rFonts w:ascii="Times New Roman" w:hAnsi="Times New Roman" w:cs="Times New Roman"/>
          <w:sz w:val="24"/>
          <w:szCs w:val="24"/>
        </w:rPr>
        <w:t xml:space="preserve"> </w:t>
      </w:r>
      <w:r>
        <w:rPr>
          <w:rFonts w:ascii="Times New Roman" w:hAnsi="Times New Roman" w:cs="Times New Roman"/>
          <w:sz w:val="24"/>
          <w:szCs w:val="24"/>
        </w:rPr>
        <w:t>are</w:t>
      </w:r>
      <w:r w:rsidR="003D690E" w:rsidRPr="00FE7F9A">
        <w:rPr>
          <w:rFonts w:ascii="Times New Roman" w:hAnsi="Times New Roman" w:cs="Times New Roman"/>
          <w:sz w:val="24"/>
          <w:szCs w:val="24"/>
        </w:rPr>
        <w:t xml:space="preserve"> </w:t>
      </w:r>
      <w:r w:rsidR="00491293">
        <w:rPr>
          <w:rFonts w:ascii="Times New Roman" w:hAnsi="Times New Roman" w:cs="Times New Roman"/>
          <w:sz w:val="24"/>
          <w:szCs w:val="24"/>
        </w:rPr>
        <w:t>likely to experience</w:t>
      </w:r>
      <w:r w:rsidR="00491293" w:rsidRPr="00FE7F9A">
        <w:rPr>
          <w:rFonts w:ascii="Times New Roman" w:hAnsi="Times New Roman" w:cs="Times New Roman"/>
          <w:sz w:val="24"/>
          <w:szCs w:val="24"/>
        </w:rPr>
        <w:t xml:space="preserve"> </w:t>
      </w:r>
      <w:r w:rsidR="00491293">
        <w:rPr>
          <w:rFonts w:ascii="Times New Roman" w:hAnsi="Times New Roman" w:cs="Times New Roman"/>
          <w:sz w:val="24"/>
          <w:szCs w:val="24"/>
        </w:rPr>
        <w:t xml:space="preserve">larger </w:t>
      </w:r>
      <w:r w:rsidR="003D690E" w:rsidRPr="00FE7F9A">
        <w:rPr>
          <w:rFonts w:ascii="Times New Roman" w:hAnsi="Times New Roman" w:cs="Times New Roman"/>
          <w:sz w:val="24"/>
          <w:szCs w:val="24"/>
        </w:rPr>
        <w:t xml:space="preserve">changes </w:t>
      </w:r>
      <w:r w:rsidR="00491293">
        <w:rPr>
          <w:rFonts w:ascii="Times New Roman" w:hAnsi="Times New Roman" w:cs="Times New Roman"/>
          <w:sz w:val="24"/>
          <w:szCs w:val="24"/>
        </w:rPr>
        <w:t xml:space="preserve">in their funding ratios and ARCs as the result of changes to their </w:t>
      </w:r>
      <w:r w:rsidR="003D690E" w:rsidRPr="00FE7F9A">
        <w:rPr>
          <w:rFonts w:ascii="Times New Roman" w:hAnsi="Times New Roman" w:cs="Times New Roman"/>
          <w:sz w:val="24"/>
          <w:szCs w:val="24"/>
        </w:rPr>
        <w:t xml:space="preserve">actuarial assumption. </w:t>
      </w:r>
      <w:r>
        <w:rPr>
          <w:rFonts w:ascii="Times New Roman" w:hAnsi="Times New Roman" w:cs="Times New Roman"/>
          <w:sz w:val="24"/>
          <w:szCs w:val="24"/>
        </w:rPr>
        <w:t xml:space="preserve">This finding goes against </w:t>
      </w:r>
      <w:r w:rsidR="00491293">
        <w:rPr>
          <w:rFonts w:ascii="Times New Roman" w:hAnsi="Times New Roman" w:cs="Times New Roman"/>
          <w:sz w:val="24"/>
          <w:szCs w:val="24"/>
        </w:rPr>
        <w:t xml:space="preserve">common assumptions </w:t>
      </w:r>
      <w:r>
        <w:rPr>
          <w:rFonts w:ascii="Times New Roman" w:hAnsi="Times New Roman" w:cs="Times New Roman"/>
          <w:sz w:val="24"/>
          <w:szCs w:val="24"/>
        </w:rPr>
        <w:t xml:space="preserve">that </w:t>
      </w:r>
      <w:r w:rsidR="00280EE4">
        <w:rPr>
          <w:rFonts w:ascii="Times New Roman" w:hAnsi="Times New Roman" w:cs="Times New Roman"/>
          <w:sz w:val="24"/>
          <w:szCs w:val="24"/>
        </w:rPr>
        <w:t xml:space="preserve">selecting more conservative actuarial inputs is </w:t>
      </w:r>
      <w:r>
        <w:rPr>
          <w:rFonts w:ascii="Times New Roman" w:hAnsi="Times New Roman" w:cs="Times New Roman"/>
          <w:sz w:val="24"/>
          <w:szCs w:val="24"/>
        </w:rPr>
        <w:t xml:space="preserve">financially easier for well-funded plans to select more conservative actuarial inputs. This </w:t>
      </w:r>
      <w:r>
        <w:rPr>
          <w:rFonts w:ascii="Times New Roman" w:hAnsi="Times New Roman" w:cs="Times New Roman"/>
          <w:sz w:val="24"/>
          <w:szCs w:val="24"/>
        </w:rPr>
        <w:lastRenderedPageBreak/>
        <w:t>suggests the need to examine differences in the management of well-funded and poorly-funded pension systems.</w:t>
      </w:r>
      <w:r w:rsidR="00D777FE" w:rsidRPr="00FE7F9A">
        <w:rPr>
          <w:rFonts w:ascii="Times New Roman" w:hAnsi="Times New Roman" w:cs="Times New Roman"/>
          <w:sz w:val="24"/>
          <w:szCs w:val="24"/>
        </w:rPr>
        <w:t xml:space="preserve"> </w:t>
      </w:r>
    </w:p>
    <w:p w14:paraId="0455083B" w14:textId="7F7F5980" w:rsidR="00696FC3" w:rsidRDefault="00CE1DB8" w:rsidP="00663DD8">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C71643">
        <w:rPr>
          <w:rFonts w:ascii="Times New Roman" w:hAnsi="Times New Roman" w:cs="Times New Roman"/>
          <w:sz w:val="24"/>
          <w:szCs w:val="24"/>
        </w:rPr>
        <w:t xml:space="preserve">Another contribution of this research is to </w:t>
      </w:r>
      <w:r w:rsidR="00280EE4">
        <w:rPr>
          <w:rFonts w:ascii="Times New Roman" w:hAnsi="Times New Roman" w:cs="Times New Roman"/>
          <w:sz w:val="24"/>
          <w:szCs w:val="24"/>
        </w:rPr>
        <w:t xml:space="preserve">move us closer to </w:t>
      </w:r>
      <w:r w:rsidR="00C71643">
        <w:rPr>
          <w:rFonts w:ascii="Times New Roman" w:hAnsi="Times New Roman" w:cs="Times New Roman"/>
          <w:sz w:val="24"/>
          <w:szCs w:val="24"/>
        </w:rPr>
        <w:t xml:space="preserve">understanding </w:t>
      </w:r>
      <w:r w:rsidR="00280EE4">
        <w:rPr>
          <w:rFonts w:ascii="Times New Roman" w:hAnsi="Times New Roman" w:cs="Times New Roman"/>
          <w:sz w:val="24"/>
          <w:szCs w:val="24"/>
        </w:rPr>
        <w:t xml:space="preserve">how to compare </w:t>
      </w:r>
      <w:r w:rsidR="00C71643">
        <w:rPr>
          <w:rFonts w:ascii="Times New Roman" w:hAnsi="Times New Roman" w:cs="Times New Roman"/>
          <w:sz w:val="24"/>
          <w:szCs w:val="24"/>
        </w:rPr>
        <w:t>pension systems</w:t>
      </w:r>
      <w:r w:rsidR="00280EE4">
        <w:rPr>
          <w:rFonts w:ascii="Times New Roman" w:hAnsi="Times New Roman" w:cs="Times New Roman"/>
          <w:sz w:val="24"/>
          <w:szCs w:val="24"/>
        </w:rPr>
        <w:t xml:space="preserve"> in cross-sectional research</w:t>
      </w:r>
      <w:r w:rsidR="00C71643">
        <w:rPr>
          <w:rFonts w:ascii="Times New Roman" w:hAnsi="Times New Roman" w:cs="Times New Roman"/>
          <w:sz w:val="24"/>
          <w:szCs w:val="24"/>
        </w:rPr>
        <w:t>. P</w:t>
      </w:r>
      <w:r w:rsidR="00FE7F9A">
        <w:rPr>
          <w:rFonts w:ascii="Times New Roman" w:hAnsi="Times New Roman" w:cs="Times New Roman"/>
          <w:sz w:val="24"/>
          <w:szCs w:val="24"/>
        </w:rPr>
        <w:t xml:space="preserve">revious </w:t>
      </w:r>
      <w:r w:rsidR="00696FC3">
        <w:rPr>
          <w:rFonts w:ascii="Times New Roman" w:hAnsi="Times New Roman" w:cs="Times New Roman"/>
          <w:sz w:val="24"/>
          <w:szCs w:val="24"/>
        </w:rPr>
        <w:t xml:space="preserve">studies compare pension costs and funding ratios across pension plans without adjusting or considering the different actuarial assumptions. This study shows that such comparison </w:t>
      </w:r>
      <w:r w:rsidR="00C71643">
        <w:rPr>
          <w:rFonts w:ascii="Times New Roman" w:hAnsi="Times New Roman" w:cs="Times New Roman"/>
          <w:sz w:val="24"/>
          <w:szCs w:val="24"/>
        </w:rPr>
        <w:t xml:space="preserve">is very problematic without controlling for actuarial inputs. </w:t>
      </w:r>
      <w:r w:rsidR="008B240E">
        <w:rPr>
          <w:rFonts w:ascii="Times New Roman" w:hAnsi="Times New Roman" w:cs="Times New Roman"/>
          <w:sz w:val="24"/>
          <w:szCs w:val="24"/>
        </w:rPr>
        <w:t>And</w:t>
      </w:r>
      <w:r w:rsidR="00C71643">
        <w:rPr>
          <w:rFonts w:ascii="Times New Roman" w:hAnsi="Times New Roman" w:cs="Times New Roman"/>
          <w:sz w:val="24"/>
          <w:szCs w:val="24"/>
        </w:rPr>
        <w:t>, even with controlling for actuarial inputs, this</w:t>
      </w:r>
      <w:r w:rsidR="00696FC3">
        <w:rPr>
          <w:rFonts w:ascii="Times New Roman" w:hAnsi="Times New Roman" w:cs="Times New Roman"/>
          <w:sz w:val="24"/>
          <w:szCs w:val="24"/>
        </w:rPr>
        <w:t xml:space="preserve"> study shows that a general </w:t>
      </w:r>
      <w:r w:rsidR="009B1694">
        <w:rPr>
          <w:rFonts w:ascii="Times New Roman" w:hAnsi="Times New Roman" w:cs="Times New Roman"/>
          <w:sz w:val="24"/>
          <w:szCs w:val="24"/>
        </w:rPr>
        <w:t>approach</w:t>
      </w:r>
      <w:r w:rsidR="00696FC3">
        <w:rPr>
          <w:rFonts w:ascii="Times New Roman" w:hAnsi="Times New Roman" w:cs="Times New Roman"/>
          <w:sz w:val="24"/>
          <w:szCs w:val="24"/>
        </w:rPr>
        <w:t xml:space="preserve"> to standardize pension funding ratios </w:t>
      </w:r>
      <w:r w:rsidR="00BB6A65">
        <w:rPr>
          <w:rFonts w:ascii="Times New Roman" w:hAnsi="Times New Roman" w:cs="Times New Roman"/>
          <w:sz w:val="24"/>
          <w:szCs w:val="24"/>
        </w:rPr>
        <w:t>based on reported data</w:t>
      </w:r>
      <w:r w:rsidR="00696FC3">
        <w:rPr>
          <w:rFonts w:ascii="Times New Roman" w:hAnsi="Times New Roman" w:cs="Times New Roman"/>
          <w:sz w:val="24"/>
          <w:szCs w:val="24"/>
        </w:rPr>
        <w:t xml:space="preserve"> is </w:t>
      </w:r>
      <w:r w:rsidR="00C71643">
        <w:rPr>
          <w:rFonts w:ascii="Times New Roman" w:hAnsi="Times New Roman" w:cs="Times New Roman"/>
          <w:sz w:val="24"/>
          <w:szCs w:val="24"/>
        </w:rPr>
        <w:t xml:space="preserve">currently out of reach until we better understand and have better data on </w:t>
      </w:r>
      <w:r w:rsidR="00696FC3">
        <w:rPr>
          <w:rFonts w:ascii="Times New Roman" w:hAnsi="Times New Roman" w:cs="Times New Roman"/>
          <w:sz w:val="24"/>
          <w:szCs w:val="24"/>
        </w:rPr>
        <w:t>plan characteristics, such as age distribution</w:t>
      </w:r>
      <w:r w:rsidR="009B1694">
        <w:rPr>
          <w:rFonts w:ascii="Times New Roman" w:hAnsi="Times New Roman" w:cs="Times New Roman"/>
          <w:sz w:val="24"/>
          <w:szCs w:val="24"/>
        </w:rPr>
        <w:t>s</w:t>
      </w:r>
      <w:r w:rsidR="00696FC3">
        <w:rPr>
          <w:rFonts w:ascii="Times New Roman" w:hAnsi="Times New Roman" w:cs="Times New Roman"/>
          <w:sz w:val="24"/>
          <w:szCs w:val="24"/>
        </w:rPr>
        <w:t xml:space="preserve"> </w:t>
      </w:r>
      <w:r w:rsidR="00C71643">
        <w:rPr>
          <w:rFonts w:ascii="Times New Roman" w:hAnsi="Times New Roman" w:cs="Times New Roman"/>
          <w:sz w:val="24"/>
          <w:szCs w:val="24"/>
        </w:rPr>
        <w:t>and</w:t>
      </w:r>
      <w:r w:rsidR="00696FC3">
        <w:rPr>
          <w:rFonts w:ascii="Times New Roman" w:hAnsi="Times New Roman" w:cs="Times New Roman"/>
          <w:sz w:val="24"/>
          <w:szCs w:val="24"/>
        </w:rPr>
        <w:t xml:space="preserve"> asset levels. </w:t>
      </w:r>
      <w:r w:rsidR="009B1694">
        <w:rPr>
          <w:rFonts w:ascii="Times New Roman" w:hAnsi="Times New Roman" w:cs="Times New Roman"/>
          <w:sz w:val="24"/>
          <w:szCs w:val="24"/>
        </w:rPr>
        <w:t>A consistent</w:t>
      </w:r>
      <w:r w:rsidR="00BB6A65">
        <w:rPr>
          <w:rFonts w:ascii="Times New Roman" w:hAnsi="Times New Roman" w:cs="Times New Roman"/>
          <w:sz w:val="24"/>
          <w:szCs w:val="24"/>
        </w:rPr>
        <w:t xml:space="preserve"> way of financial reporting, instead, could facilitate comparison of financial conditions across pension plans. </w:t>
      </w:r>
    </w:p>
    <w:p w14:paraId="6467CD86" w14:textId="23E2EEA0" w:rsidR="00062E84" w:rsidRDefault="00E730F4" w:rsidP="007D3763">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062E84">
        <w:rPr>
          <w:rFonts w:ascii="Times New Roman" w:hAnsi="Times New Roman" w:cs="Times New Roman"/>
          <w:sz w:val="24"/>
          <w:szCs w:val="24"/>
        </w:rPr>
        <w:t xml:space="preserve">There are several limitations in this study that </w:t>
      </w:r>
      <w:r w:rsidR="008B240E">
        <w:rPr>
          <w:rFonts w:ascii="Times New Roman" w:hAnsi="Times New Roman" w:cs="Times New Roman"/>
          <w:sz w:val="24"/>
          <w:szCs w:val="24"/>
        </w:rPr>
        <w:t>warrant</w:t>
      </w:r>
      <w:r w:rsidR="00062E84">
        <w:rPr>
          <w:rFonts w:ascii="Times New Roman" w:hAnsi="Times New Roman" w:cs="Times New Roman"/>
          <w:sz w:val="24"/>
          <w:szCs w:val="24"/>
        </w:rPr>
        <w:t xml:space="preserve"> further research. For one, this study </w:t>
      </w:r>
      <w:r w:rsidR="008B240E">
        <w:rPr>
          <w:rFonts w:ascii="Times New Roman" w:hAnsi="Times New Roman" w:cs="Times New Roman"/>
          <w:sz w:val="24"/>
          <w:szCs w:val="24"/>
        </w:rPr>
        <w:t>uses a variety of simplifications. We only, for example,</w:t>
      </w:r>
      <w:r w:rsidR="00062E84">
        <w:rPr>
          <w:rFonts w:ascii="Times New Roman" w:hAnsi="Times New Roman" w:cs="Times New Roman"/>
          <w:sz w:val="24"/>
          <w:szCs w:val="24"/>
        </w:rPr>
        <w:t xml:space="preserve"> look at five actuarial inputs, three asset levels, three demographic conditions, a single benefit plan, and </w:t>
      </w:r>
      <w:r w:rsidR="008B240E">
        <w:rPr>
          <w:rFonts w:ascii="Times New Roman" w:hAnsi="Times New Roman" w:cs="Times New Roman"/>
          <w:sz w:val="24"/>
          <w:szCs w:val="24"/>
        </w:rPr>
        <w:t>limit beneficiaries to employees</w:t>
      </w:r>
      <w:r w:rsidR="00062E84">
        <w:rPr>
          <w:rFonts w:ascii="Times New Roman" w:hAnsi="Times New Roman" w:cs="Times New Roman"/>
          <w:sz w:val="24"/>
          <w:szCs w:val="24"/>
        </w:rPr>
        <w:t xml:space="preserve">. </w:t>
      </w:r>
      <w:r w:rsidR="008B240E">
        <w:rPr>
          <w:rFonts w:ascii="Times New Roman" w:hAnsi="Times New Roman" w:cs="Times New Roman"/>
          <w:sz w:val="24"/>
          <w:szCs w:val="24"/>
        </w:rPr>
        <w:t>And</w:t>
      </w:r>
      <w:r w:rsidR="00062E84">
        <w:rPr>
          <w:rFonts w:ascii="Times New Roman" w:hAnsi="Times New Roman" w:cs="Times New Roman"/>
          <w:sz w:val="24"/>
          <w:szCs w:val="24"/>
        </w:rPr>
        <w:t xml:space="preserve">, we only looked at a few interactive effects. Future research should include more interactive effects, more conditions, additional benefits, and more actuarial inputs. </w:t>
      </w:r>
    </w:p>
    <w:p w14:paraId="7C526895" w14:textId="25C21A89" w:rsidR="00062E84" w:rsidRDefault="00062E84" w:rsidP="007D3763">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Another limitation is that this research only considers the marginal effect at the moment that the change is made (all other conditions held constant). More research is needed </w:t>
      </w:r>
      <w:r w:rsidR="008B240E">
        <w:rPr>
          <w:rFonts w:ascii="Times New Roman" w:hAnsi="Times New Roman" w:cs="Times New Roman"/>
          <w:sz w:val="24"/>
          <w:szCs w:val="24"/>
        </w:rPr>
        <w:t>into</w:t>
      </w:r>
      <w:r>
        <w:rPr>
          <w:rFonts w:ascii="Times New Roman" w:hAnsi="Times New Roman" w:cs="Times New Roman"/>
          <w:sz w:val="24"/>
          <w:szCs w:val="24"/>
        </w:rPr>
        <w:t xml:space="preserve"> the long-term effect of changing actuarial inputs. And, given that the simulation results demonstrate the importance of age </w:t>
      </w:r>
      <w:r w:rsidR="008B240E">
        <w:rPr>
          <w:rFonts w:ascii="Times New Roman" w:hAnsi="Times New Roman" w:cs="Times New Roman"/>
          <w:sz w:val="24"/>
          <w:szCs w:val="24"/>
        </w:rPr>
        <w:t>demographics,</w:t>
      </w:r>
      <w:r>
        <w:rPr>
          <w:rFonts w:ascii="Times New Roman" w:hAnsi="Times New Roman" w:cs="Times New Roman"/>
          <w:sz w:val="24"/>
          <w:szCs w:val="24"/>
        </w:rPr>
        <w:t xml:space="preserve"> more research is needed in how overoptimistic actuarial inputs affect pension systems as their workers near retirement. Research into long-term effects can also help us better understand the intergeneration </w:t>
      </w:r>
      <w:r w:rsidR="008B240E">
        <w:rPr>
          <w:rFonts w:ascii="Times New Roman" w:hAnsi="Times New Roman" w:cs="Times New Roman"/>
          <w:sz w:val="24"/>
          <w:szCs w:val="24"/>
        </w:rPr>
        <w:t>equity concerns</w:t>
      </w:r>
      <w:r>
        <w:rPr>
          <w:rFonts w:ascii="Times New Roman" w:hAnsi="Times New Roman" w:cs="Times New Roman"/>
          <w:sz w:val="24"/>
          <w:szCs w:val="24"/>
        </w:rPr>
        <w:t xml:space="preserve"> created by errors </w:t>
      </w:r>
      <w:r w:rsidR="008B240E">
        <w:rPr>
          <w:rFonts w:ascii="Times New Roman" w:hAnsi="Times New Roman" w:cs="Times New Roman"/>
          <w:sz w:val="24"/>
          <w:szCs w:val="24"/>
        </w:rPr>
        <w:t xml:space="preserve">(both positive and negative) </w:t>
      </w:r>
      <w:r>
        <w:rPr>
          <w:rFonts w:ascii="Times New Roman" w:hAnsi="Times New Roman" w:cs="Times New Roman"/>
          <w:sz w:val="24"/>
          <w:szCs w:val="24"/>
        </w:rPr>
        <w:t xml:space="preserve">in actuarial assumptions. </w:t>
      </w:r>
    </w:p>
    <w:p w14:paraId="0AC8BF0D" w14:textId="2280C034" w:rsidR="00BC4AF1" w:rsidRDefault="00062E84" w:rsidP="007D3763">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ab/>
        <w:t xml:space="preserve">A third limitation is that </w:t>
      </w:r>
      <w:r w:rsidR="00BC4AF1">
        <w:rPr>
          <w:rFonts w:ascii="Times New Roman" w:hAnsi="Times New Roman" w:cs="Times New Roman"/>
          <w:sz w:val="24"/>
          <w:szCs w:val="24"/>
        </w:rPr>
        <w:t xml:space="preserve">simulation is based on median conditions. This means that the simulated plan may reflect a typical plan but not provide sufficient insight into specific pension systems. Further work to model actual pension systems will help researchers understand the political incentives and constraints facing actual governments and actual pension managers. </w:t>
      </w:r>
    </w:p>
    <w:p w14:paraId="4F8277B3" w14:textId="222F8E9C" w:rsidR="00BC4AF1" w:rsidRDefault="00BC4AF1" w:rsidP="00BD702E">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Finally, this paper has treated funding ratios and contribution effects as equivalent measures. Much of the popular discussion on the financial health of pension systems focuses on the funding ratio (or a similar stock measure). However, while funding ratios and contribution requirements are associated, they are not the same. </w:t>
      </w:r>
      <w:r w:rsidR="008B240E">
        <w:rPr>
          <w:rFonts w:ascii="Times New Roman" w:hAnsi="Times New Roman" w:cs="Times New Roman"/>
          <w:sz w:val="24"/>
          <w:szCs w:val="24"/>
        </w:rPr>
        <w:t xml:space="preserve">Whether </w:t>
      </w:r>
      <w:r>
        <w:rPr>
          <w:rFonts w:ascii="Times New Roman" w:hAnsi="Times New Roman" w:cs="Times New Roman"/>
          <w:sz w:val="24"/>
          <w:szCs w:val="24"/>
        </w:rPr>
        <w:t>pension system</w:t>
      </w:r>
      <w:r w:rsidR="008B240E">
        <w:rPr>
          <w:rFonts w:ascii="Times New Roman" w:hAnsi="Times New Roman" w:cs="Times New Roman"/>
          <w:sz w:val="24"/>
          <w:szCs w:val="24"/>
        </w:rPr>
        <w:t>s</w:t>
      </w:r>
      <w:r>
        <w:rPr>
          <w:rFonts w:ascii="Times New Roman" w:hAnsi="Times New Roman" w:cs="Times New Roman"/>
          <w:sz w:val="24"/>
          <w:szCs w:val="24"/>
        </w:rPr>
        <w:t xml:space="preserve"> </w:t>
      </w:r>
      <w:r w:rsidR="008B240E">
        <w:rPr>
          <w:rFonts w:ascii="Times New Roman" w:hAnsi="Times New Roman" w:cs="Times New Roman"/>
          <w:sz w:val="24"/>
          <w:szCs w:val="24"/>
        </w:rPr>
        <w:t>are 72</w:t>
      </w:r>
      <w:r w:rsidR="00BA7544">
        <w:rPr>
          <w:rFonts w:ascii="Times New Roman" w:hAnsi="Times New Roman" w:cs="Times New Roman"/>
          <w:sz w:val="24"/>
          <w:szCs w:val="24"/>
        </w:rPr>
        <w:t xml:space="preserve"> or 79 percent funded, for example,</w:t>
      </w:r>
      <w:r>
        <w:rPr>
          <w:rFonts w:ascii="Times New Roman" w:hAnsi="Times New Roman" w:cs="Times New Roman"/>
          <w:sz w:val="24"/>
          <w:szCs w:val="24"/>
        </w:rPr>
        <w:t xml:space="preserve"> </w:t>
      </w:r>
      <w:r w:rsidR="008B240E">
        <w:rPr>
          <w:rFonts w:ascii="Times New Roman" w:hAnsi="Times New Roman" w:cs="Times New Roman"/>
          <w:sz w:val="24"/>
          <w:szCs w:val="24"/>
        </w:rPr>
        <w:t xml:space="preserve">is unlikely to </w:t>
      </w:r>
      <w:r>
        <w:rPr>
          <w:rFonts w:ascii="Times New Roman" w:hAnsi="Times New Roman" w:cs="Times New Roman"/>
          <w:sz w:val="24"/>
          <w:szCs w:val="24"/>
        </w:rPr>
        <w:t>influence the political environment</w:t>
      </w:r>
      <w:r w:rsidR="008B240E">
        <w:rPr>
          <w:rFonts w:ascii="Times New Roman" w:hAnsi="Times New Roman" w:cs="Times New Roman"/>
          <w:sz w:val="24"/>
          <w:szCs w:val="24"/>
        </w:rPr>
        <w:t xml:space="preserve"> or the opinions of most credit raters</w:t>
      </w:r>
      <w:r>
        <w:rPr>
          <w:rFonts w:ascii="Times New Roman" w:hAnsi="Times New Roman" w:cs="Times New Roman"/>
          <w:sz w:val="24"/>
          <w:szCs w:val="24"/>
        </w:rPr>
        <w:t xml:space="preserve">. However, a </w:t>
      </w:r>
      <w:r w:rsidR="00BA7544">
        <w:rPr>
          <w:rFonts w:ascii="Times New Roman" w:hAnsi="Times New Roman" w:cs="Times New Roman"/>
          <w:sz w:val="24"/>
          <w:szCs w:val="24"/>
        </w:rPr>
        <w:t xml:space="preserve">small increase in </w:t>
      </w:r>
      <w:r>
        <w:rPr>
          <w:rFonts w:ascii="Times New Roman" w:hAnsi="Times New Roman" w:cs="Times New Roman"/>
          <w:sz w:val="24"/>
          <w:szCs w:val="24"/>
        </w:rPr>
        <w:t>the contribution rate can create significant budgetary pressure</w:t>
      </w:r>
      <w:r w:rsidR="00BA7544">
        <w:rPr>
          <w:rFonts w:ascii="Times New Roman" w:hAnsi="Times New Roman" w:cs="Times New Roman"/>
          <w:sz w:val="24"/>
          <w:szCs w:val="24"/>
        </w:rPr>
        <w:t xml:space="preserve"> or further strain governments experiencing fiscal strain</w:t>
      </w:r>
      <w:r>
        <w:rPr>
          <w:rFonts w:ascii="Times New Roman" w:hAnsi="Times New Roman" w:cs="Times New Roman"/>
          <w:sz w:val="24"/>
          <w:szCs w:val="24"/>
        </w:rPr>
        <w:t>. Further research is needed into how public official</w:t>
      </w:r>
      <w:r w:rsidR="008B240E">
        <w:rPr>
          <w:rFonts w:ascii="Times New Roman" w:hAnsi="Times New Roman" w:cs="Times New Roman"/>
          <w:sz w:val="24"/>
          <w:szCs w:val="24"/>
        </w:rPr>
        <w:t>s and stakeholders</w:t>
      </w:r>
      <w:r>
        <w:rPr>
          <w:rFonts w:ascii="Times New Roman" w:hAnsi="Times New Roman" w:cs="Times New Roman"/>
          <w:sz w:val="24"/>
          <w:szCs w:val="24"/>
        </w:rPr>
        <w:t xml:space="preserve"> view the relative importance of funding ratios and contrib</w:t>
      </w:r>
      <w:r w:rsidR="008B240E">
        <w:rPr>
          <w:rFonts w:ascii="Times New Roman" w:hAnsi="Times New Roman" w:cs="Times New Roman"/>
          <w:sz w:val="24"/>
          <w:szCs w:val="24"/>
        </w:rPr>
        <w:t>ution requirements.</w:t>
      </w:r>
      <w:r>
        <w:rPr>
          <w:rFonts w:ascii="Times New Roman" w:hAnsi="Times New Roman" w:cs="Times New Roman"/>
          <w:sz w:val="24"/>
          <w:szCs w:val="24"/>
        </w:rPr>
        <w:br w:type="page"/>
      </w:r>
    </w:p>
    <w:p w14:paraId="4894D88D" w14:textId="69D349A7" w:rsidR="00B92F31" w:rsidRPr="00BD702E" w:rsidRDefault="00BD702E" w:rsidP="00BD702E">
      <w:pPr>
        <w:spacing w:after="0" w:line="480" w:lineRule="auto"/>
        <w:contextualSpacing/>
        <w:rPr>
          <w:rFonts w:ascii="Times New Roman" w:hAnsi="Times New Roman" w:cs="Times New Roman"/>
          <w:sz w:val="28"/>
          <w:szCs w:val="24"/>
        </w:rPr>
      </w:pPr>
      <w:r w:rsidRPr="00BD702E">
        <w:rPr>
          <w:rFonts w:ascii="Times New Roman" w:hAnsi="Times New Roman" w:cs="Times New Roman"/>
          <w:sz w:val="28"/>
          <w:szCs w:val="24"/>
        </w:rPr>
        <w:lastRenderedPageBreak/>
        <w:t>References</w:t>
      </w:r>
    </w:p>
    <w:p w14:paraId="612C3E0C" w14:textId="6A71AA7E" w:rsidR="009B452C" w:rsidRDefault="009B452C" w:rsidP="009B452C">
      <w:pPr>
        <w:spacing w:after="0" w:line="240" w:lineRule="auto"/>
        <w:ind w:left="720" w:hanging="720"/>
        <w:contextualSpacing/>
        <w:rPr>
          <w:rFonts w:ascii="Times New Roman" w:hAnsi="Times New Roman" w:cs="Times New Roman"/>
          <w:sz w:val="24"/>
          <w:szCs w:val="24"/>
        </w:rPr>
      </w:pPr>
      <w:proofErr w:type="gramStart"/>
      <w:r w:rsidRPr="009B452C">
        <w:rPr>
          <w:rFonts w:ascii="Times New Roman" w:hAnsi="Times New Roman" w:cs="Times New Roman"/>
          <w:sz w:val="24"/>
          <w:szCs w:val="24"/>
        </w:rPr>
        <w:t>American Academy of Actuaries.</w:t>
      </w:r>
      <w:proofErr w:type="gramEnd"/>
      <w:r w:rsidRPr="009B452C">
        <w:rPr>
          <w:rFonts w:ascii="Times New Roman" w:hAnsi="Times New Roman" w:cs="Times New Roman"/>
          <w:sz w:val="24"/>
          <w:szCs w:val="24"/>
        </w:rPr>
        <w:t xml:space="preserve"> </w:t>
      </w:r>
      <w:r>
        <w:rPr>
          <w:rFonts w:ascii="Times New Roman" w:hAnsi="Times New Roman" w:cs="Times New Roman"/>
          <w:sz w:val="24"/>
          <w:szCs w:val="24"/>
        </w:rPr>
        <w:t xml:space="preserve">2004. </w:t>
      </w:r>
      <w:r w:rsidRPr="009B452C">
        <w:rPr>
          <w:rFonts w:ascii="Times New Roman" w:hAnsi="Times New Roman" w:cs="Times New Roman"/>
          <w:i/>
          <w:sz w:val="24"/>
          <w:szCs w:val="24"/>
        </w:rPr>
        <w:t xml:space="preserve">Fundamentals of Current Pension Funding and Accounting </w:t>
      </w:r>
      <w:proofErr w:type="gramStart"/>
      <w:r w:rsidRPr="009B452C">
        <w:rPr>
          <w:rFonts w:ascii="Times New Roman" w:hAnsi="Times New Roman" w:cs="Times New Roman"/>
          <w:i/>
          <w:sz w:val="24"/>
          <w:szCs w:val="24"/>
        </w:rPr>
        <w:t>For</w:t>
      </w:r>
      <w:proofErr w:type="gramEnd"/>
      <w:r w:rsidRPr="009B452C">
        <w:rPr>
          <w:rFonts w:ascii="Times New Roman" w:hAnsi="Times New Roman" w:cs="Times New Roman"/>
          <w:i/>
          <w:sz w:val="24"/>
          <w:szCs w:val="24"/>
        </w:rPr>
        <w:t xml:space="preserve"> Private Sector Pension Plans: An Analysis by the Pension Committee of the American Academy of Actuaries. </w:t>
      </w:r>
      <w:proofErr w:type="gramStart"/>
      <w:r>
        <w:rPr>
          <w:rFonts w:ascii="Times New Roman" w:hAnsi="Times New Roman" w:cs="Times New Roman"/>
          <w:sz w:val="24"/>
          <w:szCs w:val="24"/>
        </w:rPr>
        <w:t xml:space="preserve">Accessed January 14, 2015, </w:t>
      </w:r>
      <w:hyperlink r:id="rId9" w:history="1">
        <w:r w:rsidRPr="00E24FD5">
          <w:rPr>
            <w:rStyle w:val="Hyperlink"/>
            <w:rFonts w:ascii="Times New Roman" w:hAnsi="Times New Roman" w:cs="Times New Roman"/>
            <w:sz w:val="24"/>
            <w:szCs w:val="24"/>
          </w:rPr>
          <w:t>http://www.actuary.org/pdf/pension/fundamentals_0704.pdf</w:t>
        </w:r>
      </w:hyperlink>
      <w:r>
        <w:rPr>
          <w:rFonts w:ascii="Times New Roman" w:hAnsi="Times New Roman" w:cs="Times New Roman"/>
          <w:sz w:val="24"/>
          <w:szCs w:val="24"/>
        </w:rPr>
        <w:t>.</w:t>
      </w:r>
      <w:proofErr w:type="gramEnd"/>
    </w:p>
    <w:p w14:paraId="3FF5C273" w14:textId="77777777" w:rsidR="004E23B2" w:rsidRPr="00A81263" w:rsidRDefault="004E23B2" w:rsidP="006B53B6">
      <w:pPr>
        <w:spacing w:after="0" w:line="240" w:lineRule="auto"/>
        <w:ind w:left="720" w:hanging="720"/>
        <w:contextualSpacing/>
        <w:rPr>
          <w:rFonts w:ascii="Times New Roman" w:hAnsi="Times New Roman" w:cs="Times New Roman"/>
          <w:vanish/>
          <w:sz w:val="24"/>
          <w:szCs w:val="24"/>
        </w:rPr>
      </w:pPr>
      <w:r w:rsidRPr="00A81263">
        <w:rPr>
          <w:rFonts w:ascii="Times New Roman" w:hAnsi="Times New Roman" w:cs="Times New Roman"/>
          <w:vanish/>
          <w:sz w:val="24"/>
          <w:szCs w:val="24"/>
        </w:rPr>
        <w:t>Top of Form</w:t>
      </w:r>
    </w:p>
    <w:p w14:paraId="11752548" w14:textId="77777777" w:rsidR="004E23B2" w:rsidRPr="00A81263" w:rsidRDefault="004E23B2" w:rsidP="004E23B2">
      <w:pPr>
        <w:spacing w:after="0" w:line="240" w:lineRule="auto"/>
        <w:ind w:left="720" w:hanging="720"/>
        <w:contextualSpacing/>
        <w:rPr>
          <w:rFonts w:ascii="Times New Roman" w:hAnsi="Times New Roman" w:cs="Times New Roman"/>
          <w:vanish/>
          <w:sz w:val="24"/>
          <w:szCs w:val="24"/>
        </w:rPr>
      </w:pPr>
      <w:r w:rsidRPr="00A81263">
        <w:rPr>
          <w:rFonts w:ascii="Times New Roman" w:hAnsi="Times New Roman" w:cs="Times New Roman"/>
          <w:vanish/>
          <w:sz w:val="24"/>
          <w:szCs w:val="24"/>
        </w:rPr>
        <w:t>Top of Form</w:t>
      </w:r>
    </w:p>
    <w:p w14:paraId="56240483" w14:textId="53998C8B" w:rsidR="004E23B2" w:rsidRPr="00A81263" w:rsidRDefault="004E23B2" w:rsidP="009F63DA">
      <w:pPr>
        <w:spacing w:after="0" w:line="240" w:lineRule="auto"/>
        <w:ind w:left="720" w:hanging="720"/>
        <w:contextualSpacing/>
        <w:rPr>
          <w:rFonts w:ascii="Times New Roman" w:hAnsi="Times New Roman" w:cs="Times New Roman"/>
          <w:sz w:val="24"/>
          <w:szCs w:val="24"/>
        </w:rPr>
      </w:pPr>
      <w:proofErr w:type="gramStart"/>
      <w:r w:rsidRPr="00A81263">
        <w:rPr>
          <w:rFonts w:ascii="Times New Roman" w:hAnsi="Times New Roman" w:cs="Times New Roman"/>
          <w:sz w:val="24"/>
          <w:szCs w:val="24"/>
        </w:rPr>
        <w:t>American Federation of State, County &amp; Municipal Employees (AFSCME).</w:t>
      </w:r>
      <w:proofErr w:type="gramEnd"/>
      <w:r w:rsidRPr="00A81263">
        <w:rPr>
          <w:rFonts w:ascii="Times New Roman" w:hAnsi="Times New Roman" w:cs="Times New Roman"/>
          <w:sz w:val="24"/>
          <w:szCs w:val="24"/>
        </w:rPr>
        <w:t xml:space="preserve"> 2014. </w:t>
      </w:r>
      <w:r w:rsidRPr="00A81263">
        <w:rPr>
          <w:rFonts w:ascii="Times New Roman" w:hAnsi="Times New Roman" w:cs="Times New Roman"/>
          <w:i/>
          <w:sz w:val="24"/>
          <w:szCs w:val="24"/>
        </w:rPr>
        <w:t>Fact Sheet: The Truth about Public Service Workers’ Pensions</w:t>
      </w:r>
      <w:r w:rsidRPr="00A81263">
        <w:rPr>
          <w:rFonts w:ascii="Times New Roman" w:hAnsi="Times New Roman" w:cs="Times New Roman"/>
          <w:sz w:val="24"/>
          <w:szCs w:val="24"/>
        </w:rPr>
        <w:t xml:space="preserve">. </w:t>
      </w:r>
      <w:proofErr w:type="gramStart"/>
      <w:r w:rsidRPr="00A81263">
        <w:rPr>
          <w:rFonts w:ascii="Times New Roman" w:hAnsi="Times New Roman" w:cs="Times New Roman"/>
          <w:sz w:val="24"/>
          <w:szCs w:val="24"/>
        </w:rPr>
        <w:t xml:space="preserve">Accessed </w:t>
      </w:r>
      <w:r w:rsidR="00234634">
        <w:rPr>
          <w:rFonts w:ascii="Times New Roman" w:hAnsi="Times New Roman" w:cs="Times New Roman"/>
          <w:sz w:val="24"/>
          <w:szCs w:val="24"/>
        </w:rPr>
        <w:t>January 14, 2015</w:t>
      </w:r>
      <w:r w:rsidRPr="00A81263">
        <w:rPr>
          <w:rFonts w:ascii="Times New Roman" w:hAnsi="Times New Roman" w:cs="Times New Roman"/>
          <w:sz w:val="24"/>
          <w:szCs w:val="24"/>
        </w:rPr>
        <w:t xml:space="preserve">, </w:t>
      </w:r>
      <w:hyperlink r:id="rId10" w:history="1">
        <w:r w:rsidRPr="00A81263">
          <w:rPr>
            <w:rStyle w:val="Hyperlink"/>
            <w:rFonts w:ascii="Times New Roman" w:hAnsi="Times New Roman" w:cs="Times New Roman"/>
            <w:sz w:val="24"/>
            <w:szCs w:val="24"/>
          </w:rPr>
          <w:t>http://www.afscme.org/issues/pension-security/resources/document/AFSCME-FactSheet_Pensions.pdf</w:t>
        </w:r>
      </w:hyperlink>
      <w:r w:rsidRPr="00A81263">
        <w:rPr>
          <w:rFonts w:ascii="Times New Roman" w:hAnsi="Times New Roman" w:cs="Times New Roman"/>
          <w:sz w:val="24"/>
          <w:szCs w:val="24"/>
        </w:rPr>
        <w:t>.</w:t>
      </w:r>
      <w:proofErr w:type="gramEnd"/>
    </w:p>
    <w:p w14:paraId="68C25144" w14:textId="067ADB6B" w:rsidR="00E31C77" w:rsidRDefault="00E31C77" w:rsidP="002629C2">
      <w:pPr>
        <w:spacing w:after="0" w:line="240" w:lineRule="auto"/>
        <w:ind w:left="720" w:hanging="720"/>
        <w:contextualSpacing/>
        <w:rPr>
          <w:rFonts w:ascii="Times New Roman" w:hAnsi="Times New Roman" w:cs="Times New Roman"/>
          <w:sz w:val="24"/>
          <w:szCs w:val="24"/>
        </w:rPr>
      </w:pPr>
      <w:r w:rsidRPr="00E31C77">
        <w:rPr>
          <w:rFonts w:ascii="Times New Roman" w:hAnsi="Times New Roman" w:cs="Times New Roman"/>
          <w:sz w:val="24"/>
          <w:szCs w:val="24"/>
        </w:rPr>
        <w:t xml:space="preserve">Anson, M. 2011. </w:t>
      </w:r>
      <w:proofErr w:type="gramStart"/>
      <w:r w:rsidRPr="00E31C77">
        <w:rPr>
          <w:rFonts w:ascii="Times New Roman" w:hAnsi="Times New Roman" w:cs="Times New Roman"/>
          <w:sz w:val="24"/>
          <w:szCs w:val="24"/>
        </w:rPr>
        <w:t xml:space="preserve">"A </w:t>
      </w:r>
      <w:r w:rsidR="00280EE4">
        <w:rPr>
          <w:rFonts w:ascii="Times New Roman" w:hAnsi="Times New Roman" w:cs="Times New Roman"/>
          <w:sz w:val="24"/>
          <w:szCs w:val="24"/>
        </w:rPr>
        <w:t>D</w:t>
      </w:r>
      <w:r w:rsidRPr="00E31C77">
        <w:rPr>
          <w:rFonts w:ascii="Times New Roman" w:hAnsi="Times New Roman" w:cs="Times New Roman"/>
          <w:sz w:val="24"/>
          <w:szCs w:val="24"/>
        </w:rPr>
        <w:t xml:space="preserve">iscount </w:t>
      </w:r>
      <w:r w:rsidR="00280EE4">
        <w:rPr>
          <w:rFonts w:ascii="Times New Roman" w:hAnsi="Times New Roman" w:cs="Times New Roman"/>
          <w:sz w:val="24"/>
          <w:szCs w:val="24"/>
        </w:rPr>
        <w:t>R</w:t>
      </w:r>
      <w:r w:rsidRPr="00E31C77">
        <w:rPr>
          <w:rFonts w:ascii="Times New Roman" w:hAnsi="Times New Roman" w:cs="Times New Roman"/>
          <w:sz w:val="24"/>
          <w:szCs w:val="24"/>
        </w:rPr>
        <w:t xml:space="preserve">ate for </w:t>
      </w:r>
      <w:r w:rsidR="00280EE4">
        <w:rPr>
          <w:rFonts w:ascii="Times New Roman" w:hAnsi="Times New Roman" w:cs="Times New Roman"/>
          <w:sz w:val="24"/>
          <w:szCs w:val="24"/>
        </w:rPr>
        <w:t>P</w:t>
      </w:r>
      <w:r w:rsidRPr="00E31C77">
        <w:rPr>
          <w:rFonts w:ascii="Times New Roman" w:hAnsi="Times New Roman" w:cs="Times New Roman"/>
          <w:sz w:val="24"/>
          <w:szCs w:val="24"/>
        </w:rPr>
        <w:t xml:space="preserve">ublic </w:t>
      </w:r>
      <w:r w:rsidR="00280EE4">
        <w:rPr>
          <w:rFonts w:ascii="Times New Roman" w:hAnsi="Times New Roman" w:cs="Times New Roman"/>
          <w:sz w:val="24"/>
          <w:szCs w:val="24"/>
        </w:rPr>
        <w:t>P</w:t>
      </w:r>
      <w:r w:rsidRPr="00E31C77">
        <w:rPr>
          <w:rFonts w:ascii="Times New Roman" w:hAnsi="Times New Roman" w:cs="Times New Roman"/>
          <w:sz w:val="24"/>
          <w:szCs w:val="24"/>
        </w:rPr>
        <w:t xml:space="preserve">ension </w:t>
      </w:r>
      <w:r w:rsidR="00280EE4">
        <w:rPr>
          <w:rFonts w:ascii="Times New Roman" w:hAnsi="Times New Roman" w:cs="Times New Roman"/>
          <w:sz w:val="24"/>
          <w:szCs w:val="24"/>
        </w:rPr>
        <w:t>P</w:t>
      </w:r>
      <w:r w:rsidRPr="00E31C77">
        <w:rPr>
          <w:rFonts w:ascii="Times New Roman" w:hAnsi="Times New Roman" w:cs="Times New Roman"/>
          <w:sz w:val="24"/>
          <w:szCs w:val="24"/>
        </w:rPr>
        <w:t>lans."</w:t>
      </w:r>
      <w:proofErr w:type="gramEnd"/>
      <w:r w:rsidRPr="00E31C77">
        <w:rPr>
          <w:rFonts w:ascii="Times New Roman" w:hAnsi="Times New Roman" w:cs="Times New Roman"/>
          <w:sz w:val="24"/>
          <w:szCs w:val="24"/>
        </w:rPr>
        <w:t xml:space="preserve"> </w:t>
      </w:r>
      <w:proofErr w:type="gramStart"/>
      <w:r w:rsidRPr="00E31C77">
        <w:rPr>
          <w:rFonts w:ascii="Times New Roman" w:hAnsi="Times New Roman" w:cs="Times New Roman"/>
          <w:i/>
          <w:sz w:val="24"/>
          <w:szCs w:val="24"/>
        </w:rPr>
        <w:t>Journal of Investment Consulting</w:t>
      </w:r>
      <w:r>
        <w:rPr>
          <w:rFonts w:ascii="Times New Roman" w:hAnsi="Times New Roman" w:cs="Times New Roman"/>
          <w:i/>
          <w:sz w:val="24"/>
          <w:szCs w:val="24"/>
        </w:rPr>
        <w:t>.</w:t>
      </w:r>
      <w:proofErr w:type="gramEnd"/>
      <w:r w:rsidRPr="00E31C77">
        <w:rPr>
          <w:rFonts w:ascii="Times New Roman" w:hAnsi="Times New Roman" w:cs="Times New Roman"/>
          <w:sz w:val="24"/>
          <w:szCs w:val="24"/>
        </w:rPr>
        <w:t xml:space="preserve">  12 (2):16-22.</w:t>
      </w:r>
    </w:p>
    <w:p w14:paraId="21E0EFF9" w14:textId="0B489D2D" w:rsidR="004E23B2" w:rsidRPr="00A81263" w:rsidRDefault="004E23B2" w:rsidP="002629C2">
      <w:pPr>
        <w:spacing w:after="0" w:line="240" w:lineRule="auto"/>
        <w:ind w:left="720" w:hanging="720"/>
        <w:contextualSpacing/>
        <w:rPr>
          <w:rFonts w:ascii="Times New Roman" w:hAnsi="Times New Roman" w:cs="Times New Roman"/>
          <w:sz w:val="24"/>
          <w:szCs w:val="24"/>
        </w:rPr>
      </w:pPr>
      <w:r w:rsidRPr="00A81263">
        <w:rPr>
          <w:rFonts w:ascii="Times New Roman" w:hAnsi="Times New Roman" w:cs="Times New Roman"/>
          <w:sz w:val="24"/>
          <w:szCs w:val="24"/>
        </w:rPr>
        <w:t xml:space="preserve">Bentley, A. L. 2009. </w:t>
      </w:r>
      <w:r w:rsidR="00A001C4" w:rsidRPr="00E31C77">
        <w:rPr>
          <w:rFonts w:ascii="Times New Roman" w:hAnsi="Times New Roman" w:cs="Times New Roman"/>
          <w:sz w:val="24"/>
          <w:szCs w:val="24"/>
        </w:rPr>
        <w:t>"</w:t>
      </w:r>
      <w:r w:rsidRPr="00A81263">
        <w:rPr>
          <w:rFonts w:ascii="Times New Roman" w:hAnsi="Times New Roman" w:cs="Times New Roman"/>
          <w:sz w:val="24"/>
          <w:szCs w:val="24"/>
        </w:rPr>
        <w:t>The New York State Comptroller as Sole Trustee of the Common Retirement Fund: A Constitutional Guarantee?</w:t>
      </w:r>
      <w:r w:rsidR="00A001C4" w:rsidRPr="00E31C77">
        <w:rPr>
          <w:rFonts w:ascii="Times New Roman" w:hAnsi="Times New Roman" w:cs="Times New Roman"/>
          <w:sz w:val="24"/>
          <w:szCs w:val="24"/>
        </w:rPr>
        <w:t>"</w:t>
      </w:r>
      <w:r w:rsidRPr="00A81263">
        <w:rPr>
          <w:rFonts w:ascii="Times New Roman" w:hAnsi="Times New Roman" w:cs="Times New Roman"/>
          <w:sz w:val="24"/>
          <w:szCs w:val="24"/>
        </w:rPr>
        <w:t xml:space="preserve"> </w:t>
      </w:r>
      <w:proofErr w:type="gramStart"/>
      <w:r w:rsidRPr="00A81263">
        <w:rPr>
          <w:rFonts w:ascii="Times New Roman" w:hAnsi="Times New Roman" w:cs="Times New Roman"/>
          <w:i/>
          <w:iCs/>
          <w:sz w:val="24"/>
          <w:szCs w:val="24"/>
        </w:rPr>
        <w:t>Albany Law Review</w:t>
      </w:r>
      <w:r w:rsidRPr="00A81263">
        <w:rPr>
          <w:rFonts w:ascii="Times New Roman" w:hAnsi="Times New Roman" w:cs="Times New Roman"/>
          <w:sz w:val="24"/>
          <w:szCs w:val="24"/>
        </w:rPr>
        <w:t>.</w:t>
      </w:r>
      <w:proofErr w:type="gramEnd"/>
      <w:r w:rsidRPr="00A81263">
        <w:rPr>
          <w:rFonts w:ascii="Times New Roman" w:hAnsi="Times New Roman" w:cs="Times New Roman"/>
          <w:sz w:val="24"/>
          <w:szCs w:val="24"/>
        </w:rPr>
        <w:t xml:space="preserve"> </w:t>
      </w:r>
      <w:r w:rsidRPr="00A81263">
        <w:rPr>
          <w:rFonts w:ascii="Times New Roman" w:hAnsi="Times New Roman" w:cs="Times New Roman"/>
          <w:i/>
          <w:iCs/>
          <w:sz w:val="24"/>
          <w:szCs w:val="24"/>
        </w:rPr>
        <w:t>72</w:t>
      </w:r>
      <w:r w:rsidRPr="00A81263">
        <w:rPr>
          <w:rFonts w:ascii="Times New Roman" w:hAnsi="Times New Roman" w:cs="Times New Roman"/>
          <w:sz w:val="24"/>
          <w:szCs w:val="24"/>
        </w:rPr>
        <w:t>(3): 761-788</w:t>
      </w:r>
    </w:p>
    <w:p w14:paraId="4D62F6B4" w14:textId="6638BA50" w:rsidR="004E23B2" w:rsidRPr="00A81263" w:rsidRDefault="004E23B2" w:rsidP="002629C2">
      <w:pPr>
        <w:spacing w:after="0" w:line="240" w:lineRule="auto"/>
        <w:ind w:left="720" w:hanging="720"/>
        <w:contextualSpacing/>
        <w:rPr>
          <w:rFonts w:ascii="Times New Roman" w:hAnsi="Times New Roman" w:cs="Times New Roman"/>
          <w:sz w:val="24"/>
          <w:szCs w:val="24"/>
        </w:rPr>
      </w:pPr>
      <w:r w:rsidRPr="00A81263">
        <w:rPr>
          <w:rFonts w:ascii="Times New Roman" w:hAnsi="Times New Roman" w:cs="Times New Roman"/>
          <w:sz w:val="24"/>
          <w:szCs w:val="24"/>
        </w:rPr>
        <w:t>Biggs, A</w:t>
      </w:r>
      <w:r w:rsidR="00A001C4">
        <w:rPr>
          <w:rFonts w:ascii="Times New Roman" w:hAnsi="Times New Roman" w:cs="Times New Roman"/>
          <w:sz w:val="24"/>
          <w:szCs w:val="24"/>
        </w:rPr>
        <w:t>.</w:t>
      </w:r>
      <w:r w:rsidR="005E4DB5">
        <w:rPr>
          <w:rFonts w:ascii="Times New Roman" w:hAnsi="Times New Roman" w:cs="Times New Roman"/>
          <w:sz w:val="24"/>
          <w:szCs w:val="24"/>
        </w:rPr>
        <w:t xml:space="preserve"> G. 2012. </w:t>
      </w:r>
      <w:r w:rsidR="005E4DB5" w:rsidRPr="00E31C77">
        <w:rPr>
          <w:rFonts w:ascii="Times New Roman" w:hAnsi="Times New Roman" w:cs="Times New Roman"/>
          <w:sz w:val="24"/>
          <w:szCs w:val="24"/>
        </w:rPr>
        <w:t>"</w:t>
      </w:r>
      <w:r w:rsidRPr="00A81263">
        <w:rPr>
          <w:rFonts w:ascii="Times New Roman" w:hAnsi="Times New Roman" w:cs="Times New Roman"/>
          <w:sz w:val="24"/>
          <w:szCs w:val="24"/>
        </w:rPr>
        <w:t>Public Sector Pensions: How Well Funded Are They, Really?</w:t>
      </w:r>
      <w:r w:rsidR="005E4DB5" w:rsidRPr="00E31C77">
        <w:rPr>
          <w:rFonts w:ascii="Times New Roman" w:hAnsi="Times New Roman" w:cs="Times New Roman"/>
          <w:sz w:val="24"/>
          <w:szCs w:val="24"/>
        </w:rPr>
        <w:t>"</w:t>
      </w:r>
      <w:r w:rsidRPr="00A81263">
        <w:rPr>
          <w:rFonts w:ascii="Times New Roman" w:hAnsi="Times New Roman" w:cs="Times New Roman"/>
          <w:sz w:val="24"/>
          <w:szCs w:val="24"/>
        </w:rPr>
        <w:t xml:space="preserve"> </w:t>
      </w:r>
      <w:proofErr w:type="gramStart"/>
      <w:r w:rsidRPr="00A81263">
        <w:rPr>
          <w:rFonts w:ascii="Times New Roman" w:hAnsi="Times New Roman" w:cs="Times New Roman"/>
          <w:sz w:val="24"/>
          <w:szCs w:val="24"/>
        </w:rPr>
        <w:t>State Budget Solutions.</w:t>
      </w:r>
      <w:proofErr w:type="gramEnd"/>
      <w:r w:rsidRPr="00A81263">
        <w:rPr>
          <w:rFonts w:ascii="Times New Roman" w:hAnsi="Times New Roman" w:cs="Times New Roman"/>
          <w:sz w:val="24"/>
          <w:szCs w:val="24"/>
        </w:rPr>
        <w:t xml:space="preserve"> </w:t>
      </w:r>
      <w:proofErr w:type="gramStart"/>
      <w:r w:rsidRPr="00A81263">
        <w:rPr>
          <w:rFonts w:ascii="Times New Roman" w:hAnsi="Times New Roman" w:cs="Times New Roman"/>
          <w:sz w:val="24"/>
          <w:szCs w:val="24"/>
        </w:rPr>
        <w:t xml:space="preserve">Accessed </w:t>
      </w:r>
      <w:r w:rsidR="00234634">
        <w:rPr>
          <w:rFonts w:ascii="Times New Roman" w:hAnsi="Times New Roman" w:cs="Times New Roman"/>
          <w:sz w:val="24"/>
          <w:szCs w:val="24"/>
        </w:rPr>
        <w:t>January 14, 2015</w:t>
      </w:r>
      <w:r w:rsidRPr="00A81263">
        <w:rPr>
          <w:rFonts w:ascii="Times New Roman" w:hAnsi="Times New Roman" w:cs="Times New Roman"/>
          <w:sz w:val="24"/>
          <w:szCs w:val="24"/>
        </w:rPr>
        <w:t xml:space="preserve">, </w:t>
      </w:r>
      <w:hyperlink r:id="rId11" w:history="1">
        <w:r w:rsidRPr="00A81263">
          <w:rPr>
            <w:rStyle w:val="Hyperlink"/>
            <w:rFonts w:ascii="Times New Roman" w:hAnsi="Times New Roman" w:cs="Times New Roman"/>
            <w:sz w:val="24"/>
            <w:szCs w:val="24"/>
          </w:rPr>
          <w:t>http://www.statebudgetsolutions.org/publications/detail/public-sector-pensions-how-well-funded-are-they-really</w:t>
        </w:r>
      </w:hyperlink>
      <w:r w:rsidRPr="00A81263">
        <w:rPr>
          <w:rFonts w:ascii="Times New Roman" w:hAnsi="Times New Roman" w:cs="Times New Roman"/>
          <w:sz w:val="24"/>
          <w:szCs w:val="24"/>
        </w:rPr>
        <w:t>.</w:t>
      </w:r>
      <w:proofErr w:type="gramEnd"/>
    </w:p>
    <w:p w14:paraId="22BD7381" w14:textId="79DF0621" w:rsidR="00E31C77" w:rsidRDefault="00E31C77" w:rsidP="00F44243">
      <w:pPr>
        <w:spacing w:after="0" w:line="240" w:lineRule="auto"/>
        <w:ind w:left="720" w:hanging="720"/>
        <w:contextualSpacing/>
        <w:rPr>
          <w:rFonts w:ascii="Times New Roman" w:hAnsi="Times New Roman" w:cs="Times New Roman"/>
          <w:sz w:val="24"/>
          <w:szCs w:val="24"/>
        </w:rPr>
      </w:pPr>
      <w:proofErr w:type="gramStart"/>
      <w:r w:rsidRPr="00E31C77">
        <w:rPr>
          <w:rFonts w:ascii="Times New Roman" w:hAnsi="Times New Roman" w:cs="Times New Roman"/>
          <w:sz w:val="24"/>
          <w:szCs w:val="24"/>
        </w:rPr>
        <w:t>Brown, J</w:t>
      </w:r>
      <w:r w:rsidR="00A001C4">
        <w:rPr>
          <w:rFonts w:ascii="Times New Roman" w:hAnsi="Times New Roman" w:cs="Times New Roman"/>
          <w:sz w:val="24"/>
          <w:szCs w:val="24"/>
        </w:rPr>
        <w:t>.</w:t>
      </w:r>
      <w:r w:rsidRPr="00E31C77">
        <w:rPr>
          <w:rFonts w:ascii="Times New Roman" w:hAnsi="Times New Roman" w:cs="Times New Roman"/>
          <w:sz w:val="24"/>
          <w:szCs w:val="24"/>
        </w:rPr>
        <w:t xml:space="preserve"> R., R</w:t>
      </w:r>
      <w:r w:rsidR="00A001C4">
        <w:rPr>
          <w:rFonts w:ascii="Times New Roman" w:hAnsi="Times New Roman" w:cs="Times New Roman"/>
          <w:sz w:val="24"/>
          <w:szCs w:val="24"/>
        </w:rPr>
        <w:t>.</w:t>
      </w:r>
      <w:r w:rsidRPr="00E31C77">
        <w:rPr>
          <w:rFonts w:ascii="Times New Roman" w:hAnsi="Times New Roman" w:cs="Times New Roman"/>
          <w:sz w:val="24"/>
          <w:szCs w:val="24"/>
        </w:rPr>
        <w:t xml:space="preserve"> Clark, and J</w:t>
      </w:r>
      <w:r w:rsidR="00A001C4">
        <w:rPr>
          <w:rFonts w:ascii="Times New Roman" w:hAnsi="Times New Roman" w:cs="Times New Roman"/>
          <w:sz w:val="24"/>
          <w:szCs w:val="24"/>
        </w:rPr>
        <w:t>.</w:t>
      </w:r>
      <w:r w:rsidRPr="00E31C77">
        <w:rPr>
          <w:rFonts w:ascii="Times New Roman" w:hAnsi="Times New Roman" w:cs="Times New Roman"/>
          <w:sz w:val="24"/>
          <w:szCs w:val="24"/>
        </w:rPr>
        <w:t xml:space="preserve"> </w:t>
      </w:r>
      <w:proofErr w:type="spellStart"/>
      <w:r w:rsidRPr="00E31C77">
        <w:rPr>
          <w:rFonts w:ascii="Times New Roman" w:hAnsi="Times New Roman" w:cs="Times New Roman"/>
          <w:sz w:val="24"/>
          <w:szCs w:val="24"/>
        </w:rPr>
        <w:t>Rauh</w:t>
      </w:r>
      <w:proofErr w:type="spellEnd"/>
      <w:r w:rsidRPr="00E31C77">
        <w:rPr>
          <w:rFonts w:ascii="Times New Roman" w:hAnsi="Times New Roman" w:cs="Times New Roman"/>
          <w:sz w:val="24"/>
          <w:szCs w:val="24"/>
        </w:rPr>
        <w:t>.</w:t>
      </w:r>
      <w:proofErr w:type="gramEnd"/>
      <w:r w:rsidRPr="00E31C77">
        <w:rPr>
          <w:rFonts w:ascii="Times New Roman" w:hAnsi="Times New Roman" w:cs="Times New Roman"/>
          <w:sz w:val="24"/>
          <w:szCs w:val="24"/>
        </w:rPr>
        <w:t xml:space="preserve"> 2011. "The </w:t>
      </w:r>
      <w:r w:rsidR="00A001C4">
        <w:rPr>
          <w:rFonts w:ascii="Times New Roman" w:hAnsi="Times New Roman" w:cs="Times New Roman"/>
          <w:sz w:val="24"/>
          <w:szCs w:val="24"/>
        </w:rPr>
        <w:t>E</w:t>
      </w:r>
      <w:r w:rsidRPr="00E31C77">
        <w:rPr>
          <w:rFonts w:ascii="Times New Roman" w:hAnsi="Times New Roman" w:cs="Times New Roman"/>
          <w:sz w:val="24"/>
          <w:szCs w:val="24"/>
        </w:rPr>
        <w:t xml:space="preserve">conomics of </w:t>
      </w:r>
      <w:r w:rsidR="00A001C4">
        <w:rPr>
          <w:rFonts w:ascii="Times New Roman" w:hAnsi="Times New Roman" w:cs="Times New Roman"/>
          <w:sz w:val="24"/>
          <w:szCs w:val="24"/>
        </w:rPr>
        <w:t>S</w:t>
      </w:r>
      <w:r w:rsidRPr="00E31C77">
        <w:rPr>
          <w:rFonts w:ascii="Times New Roman" w:hAnsi="Times New Roman" w:cs="Times New Roman"/>
          <w:sz w:val="24"/>
          <w:szCs w:val="24"/>
        </w:rPr>
        <w:t xml:space="preserve">tate and </w:t>
      </w:r>
      <w:r w:rsidR="00A001C4">
        <w:rPr>
          <w:rFonts w:ascii="Times New Roman" w:hAnsi="Times New Roman" w:cs="Times New Roman"/>
          <w:sz w:val="24"/>
          <w:szCs w:val="24"/>
        </w:rPr>
        <w:t>L</w:t>
      </w:r>
      <w:r w:rsidRPr="00E31C77">
        <w:rPr>
          <w:rFonts w:ascii="Times New Roman" w:hAnsi="Times New Roman" w:cs="Times New Roman"/>
          <w:sz w:val="24"/>
          <w:szCs w:val="24"/>
        </w:rPr>
        <w:t xml:space="preserve">ocal </w:t>
      </w:r>
      <w:r w:rsidR="00A001C4">
        <w:rPr>
          <w:rFonts w:ascii="Times New Roman" w:hAnsi="Times New Roman" w:cs="Times New Roman"/>
          <w:sz w:val="24"/>
          <w:szCs w:val="24"/>
        </w:rPr>
        <w:t>P</w:t>
      </w:r>
      <w:r w:rsidRPr="00E31C77">
        <w:rPr>
          <w:rFonts w:ascii="Times New Roman" w:hAnsi="Times New Roman" w:cs="Times New Roman"/>
          <w:sz w:val="24"/>
          <w:szCs w:val="24"/>
        </w:rPr>
        <w:t xml:space="preserve">ensions." </w:t>
      </w:r>
      <w:proofErr w:type="gramStart"/>
      <w:r w:rsidRPr="00E31C77">
        <w:rPr>
          <w:rFonts w:ascii="Times New Roman" w:hAnsi="Times New Roman" w:cs="Times New Roman"/>
          <w:i/>
          <w:sz w:val="24"/>
          <w:szCs w:val="24"/>
        </w:rPr>
        <w:t>Journal of Pension Economics and Finance</w:t>
      </w:r>
      <w:r w:rsidRPr="00E31C77">
        <w:rPr>
          <w:rFonts w:ascii="Times New Roman" w:hAnsi="Times New Roman" w:cs="Times New Roman"/>
          <w:sz w:val="24"/>
          <w:szCs w:val="24"/>
        </w:rPr>
        <w:t>.</w:t>
      </w:r>
      <w:proofErr w:type="gramEnd"/>
      <w:r w:rsidRPr="00E31C77">
        <w:rPr>
          <w:rFonts w:ascii="Times New Roman" w:hAnsi="Times New Roman" w:cs="Times New Roman"/>
          <w:sz w:val="24"/>
          <w:szCs w:val="24"/>
        </w:rPr>
        <w:t xml:space="preserve"> 10 (2):161.</w:t>
      </w:r>
    </w:p>
    <w:p w14:paraId="2C0B4651" w14:textId="3549F8BC" w:rsidR="00E31C77" w:rsidRDefault="00E31C77" w:rsidP="00F44243">
      <w:pPr>
        <w:spacing w:after="0" w:line="240" w:lineRule="auto"/>
        <w:ind w:left="720" w:hanging="720"/>
        <w:contextualSpacing/>
        <w:rPr>
          <w:rFonts w:ascii="Times New Roman" w:hAnsi="Times New Roman" w:cs="Times New Roman"/>
          <w:sz w:val="24"/>
          <w:szCs w:val="24"/>
        </w:rPr>
      </w:pPr>
      <w:proofErr w:type="gramStart"/>
      <w:r w:rsidRPr="00E31C77">
        <w:rPr>
          <w:rFonts w:ascii="Times New Roman" w:hAnsi="Times New Roman" w:cs="Times New Roman"/>
          <w:sz w:val="24"/>
          <w:szCs w:val="24"/>
        </w:rPr>
        <w:t>Brown, J</w:t>
      </w:r>
      <w:r w:rsidR="00A001C4">
        <w:rPr>
          <w:rFonts w:ascii="Times New Roman" w:hAnsi="Times New Roman" w:cs="Times New Roman"/>
          <w:sz w:val="24"/>
          <w:szCs w:val="24"/>
        </w:rPr>
        <w:t>.</w:t>
      </w:r>
      <w:r w:rsidRPr="00E31C77">
        <w:rPr>
          <w:rFonts w:ascii="Times New Roman" w:hAnsi="Times New Roman" w:cs="Times New Roman"/>
          <w:sz w:val="24"/>
          <w:szCs w:val="24"/>
        </w:rPr>
        <w:t xml:space="preserve"> R., and D</w:t>
      </w:r>
      <w:r w:rsidR="00A001C4">
        <w:rPr>
          <w:rFonts w:ascii="Times New Roman" w:hAnsi="Times New Roman" w:cs="Times New Roman"/>
          <w:sz w:val="24"/>
          <w:szCs w:val="24"/>
        </w:rPr>
        <w:t>.</w:t>
      </w:r>
      <w:r w:rsidRPr="00E31C77">
        <w:rPr>
          <w:rFonts w:ascii="Times New Roman" w:hAnsi="Times New Roman" w:cs="Times New Roman"/>
          <w:sz w:val="24"/>
          <w:szCs w:val="24"/>
        </w:rPr>
        <w:t xml:space="preserve"> W. Wilcox.</w:t>
      </w:r>
      <w:proofErr w:type="gramEnd"/>
      <w:r w:rsidRPr="00E31C77">
        <w:rPr>
          <w:rFonts w:ascii="Times New Roman" w:hAnsi="Times New Roman" w:cs="Times New Roman"/>
          <w:sz w:val="24"/>
          <w:szCs w:val="24"/>
        </w:rPr>
        <w:t xml:space="preserve"> 2009. "Discounting </w:t>
      </w:r>
      <w:r w:rsidR="00A001C4">
        <w:rPr>
          <w:rFonts w:ascii="Times New Roman" w:hAnsi="Times New Roman" w:cs="Times New Roman"/>
          <w:sz w:val="24"/>
          <w:szCs w:val="24"/>
        </w:rPr>
        <w:t>S</w:t>
      </w:r>
      <w:r w:rsidRPr="00E31C77">
        <w:rPr>
          <w:rFonts w:ascii="Times New Roman" w:hAnsi="Times New Roman" w:cs="Times New Roman"/>
          <w:sz w:val="24"/>
          <w:szCs w:val="24"/>
        </w:rPr>
        <w:t xml:space="preserve">tate and </w:t>
      </w:r>
      <w:r w:rsidR="00A001C4">
        <w:rPr>
          <w:rFonts w:ascii="Times New Roman" w:hAnsi="Times New Roman" w:cs="Times New Roman"/>
          <w:sz w:val="24"/>
          <w:szCs w:val="24"/>
        </w:rPr>
        <w:t>L</w:t>
      </w:r>
      <w:r w:rsidRPr="00E31C77">
        <w:rPr>
          <w:rFonts w:ascii="Times New Roman" w:hAnsi="Times New Roman" w:cs="Times New Roman"/>
          <w:sz w:val="24"/>
          <w:szCs w:val="24"/>
        </w:rPr>
        <w:t xml:space="preserve">ocal </w:t>
      </w:r>
      <w:r w:rsidR="00A001C4">
        <w:rPr>
          <w:rFonts w:ascii="Times New Roman" w:hAnsi="Times New Roman" w:cs="Times New Roman"/>
          <w:sz w:val="24"/>
          <w:szCs w:val="24"/>
        </w:rPr>
        <w:t>P</w:t>
      </w:r>
      <w:r w:rsidRPr="00E31C77">
        <w:rPr>
          <w:rFonts w:ascii="Times New Roman" w:hAnsi="Times New Roman" w:cs="Times New Roman"/>
          <w:sz w:val="24"/>
          <w:szCs w:val="24"/>
        </w:rPr>
        <w:t xml:space="preserve">ension </w:t>
      </w:r>
      <w:r w:rsidR="00A001C4">
        <w:rPr>
          <w:rFonts w:ascii="Times New Roman" w:hAnsi="Times New Roman" w:cs="Times New Roman"/>
          <w:sz w:val="24"/>
          <w:szCs w:val="24"/>
        </w:rPr>
        <w:t>L</w:t>
      </w:r>
      <w:r w:rsidRPr="00E31C77">
        <w:rPr>
          <w:rFonts w:ascii="Times New Roman" w:hAnsi="Times New Roman" w:cs="Times New Roman"/>
          <w:sz w:val="24"/>
          <w:szCs w:val="24"/>
        </w:rPr>
        <w:t xml:space="preserve">iabilities." </w:t>
      </w:r>
      <w:proofErr w:type="gramStart"/>
      <w:r w:rsidRPr="00E31C77">
        <w:rPr>
          <w:rFonts w:ascii="Times New Roman" w:hAnsi="Times New Roman" w:cs="Times New Roman"/>
          <w:i/>
          <w:sz w:val="24"/>
          <w:szCs w:val="24"/>
        </w:rPr>
        <w:t>The American Economic Review</w:t>
      </w:r>
      <w:r w:rsidRPr="00E31C77">
        <w:rPr>
          <w:rFonts w:ascii="Times New Roman" w:hAnsi="Times New Roman" w:cs="Times New Roman"/>
          <w:sz w:val="24"/>
          <w:szCs w:val="24"/>
        </w:rPr>
        <w:t>.</w:t>
      </w:r>
      <w:proofErr w:type="gramEnd"/>
      <w:r w:rsidRPr="00E31C77">
        <w:rPr>
          <w:rFonts w:ascii="Times New Roman" w:hAnsi="Times New Roman" w:cs="Times New Roman"/>
          <w:sz w:val="24"/>
          <w:szCs w:val="24"/>
        </w:rPr>
        <w:t xml:space="preserve"> 99 (2):538-542.</w:t>
      </w:r>
    </w:p>
    <w:p w14:paraId="689F29A9" w14:textId="61B2F3AE" w:rsidR="004E23B2" w:rsidRPr="00A81263" w:rsidRDefault="004E23B2" w:rsidP="00F44243">
      <w:pPr>
        <w:spacing w:after="0" w:line="240" w:lineRule="auto"/>
        <w:ind w:left="720" w:hanging="720"/>
        <w:contextualSpacing/>
        <w:rPr>
          <w:rFonts w:ascii="Times New Roman" w:hAnsi="Times New Roman" w:cs="Times New Roman"/>
          <w:sz w:val="24"/>
          <w:szCs w:val="24"/>
        </w:rPr>
      </w:pPr>
      <w:proofErr w:type="gramStart"/>
      <w:r w:rsidRPr="00A81263">
        <w:rPr>
          <w:rFonts w:ascii="Times New Roman" w:hAnsi="Times New Roman" w:cs="Times New Roman"/>
          <w:sz w:val="24"/>
          <w:szCs w:val="24"/>
        </w:rPr>
        <w:t>Chaney, B. A., P. A. Copley, and M. S. Stone.</w:t>
      </w:r>
      <w:proofErr w:type="gramEnd"/>
      <w:r w:rsidRPr="00A81263">
        <w:rPr>
          <w:rFonts w:ascii="Times New Roman" w:hAnsi="Times New Roman" w:cs="Times New Roman"/>
          <w:sz w:val="24"/>
          <w:szCs w:val="24"/>
        </w:rPr>
        <w:t xml:space="preserve"> 2002. "The </w:t>
      </w:r>
      <w:r w:rsidR="00A001C4">
        <w:rPr>
          <w:rFonts w:ascii="Times New Roman" w:hAnsi="Times New Roman" w:cs="Times New Roman"/>
          <w:sz w:val="24"/>
          <w:szCs w:val="24"/>
        </w:rPr>
        <w:t>E</w:t>
      </w:r>
      <w:r w:rsidRPr="00A81263">
        <w:rPr>
          <w:rFonts w:ascii="Times New Roman" w:hAnsi="Times New Roman" w:cs="Times New Roman"/>
          <w:sz w:val="24"/>
          <w:szCs w:val="24"/>
        </w:rPr>
        <w:t xml:space="preserve">ffect of </w:t>
      </w:r>
      <w:r w:rsidR="00A001C4">
        <w:rPr>
          <w:rFonts w:ascii="Times New Roman" w:hAnsi="Times New Roman" w:cs="Times New Roman"/>
          <w:sz w:val="24"/>
          <w:szCs w:val="24"/>
        </w:rPr>
        <w:t>F</w:t>
      </w:r>
      <w:r w:rsidRPr="00A81263">
        <w:rPr>
          <w:rFonts w:ascii="Times New Roman" w:hAnsi="Times New Roman" w:cs="Times New Roman"/>
          <w:sz w:val="24"/>
          <w:szCs w:val="24"/>
        </w:rPr>
        <w:t xml:space="preserve">iscal </w:t>
      </w:r>
      <w:r w:rsidR="00A001C4">
        <w:rPr>
          <w:rFonts w:ascii="Times New Roman" w:hAnsi="Times New Roman" w:cs="Times New Roman"/>
          <w:sz w:val="24"/>
          <w:szCs w:val="24"/>
        </w:rPr>
        <w:t>S</w:t>
      </w:r>
      <w:r w:rsidRPr="00A81263">
        <w:rPr>
          <w:rFonts w:ascii="Times New Roman" w:hAnsi="Times New Roman" w:cs="Times New Roman"/>
          <w:sz w:val="24"/>
          <w:szCs w:val="24"/>
        </w:rPr>
        <w:t xml:space="preserve">tress and </w:t>
      </w:r>
      <w:r w:rsidR="00A001C4">
        <w:rPr>
          <w:rFonts w:ascii="Times New Roman" w:hAnsi="Times New Roman" w:cs="Times New Roman"/>
          <w:sz w:val="24"/>
          <w:szCs w:val="24"/>
        </w:rPr>
        <w:t>B</w:t>
      </w:r>
      <w:r w:rsidRPr="00A81263">
        <w:rPr>
          <w:rFonts w:ascii="Times New Roman" w:hAnsi="Times New Roman" w:cs="Times New Roman"/>
          <w:sz w:val="24"/>
          <w:szCs w:val="24"/>
        </w:rPr>
        <w:t xml:space="preserve">alanced </w:t>
      </w:r>
      <w:r w:rsidR="00A001C4">
        <w:rPr>
          <w:rFonts w:ascii="Times New Roman" w:hAnsi="Times New Roman" w:cs="Times New Roman"/>
          <w:sz w:val="24"/>
          <w:szCs w:val="24"/>
        </w:rPr>
        <w:t>B</w:t>
      </w:r>
      <w:r w:rsidRPr="00A81263">
        <w:rPr>
          <w:rFonts w:ascii="Times New Roman" w:hAnsi="Times New Roman" w:cs="Times New Roman"/>
          <w:sz w:val="24"/>
          <w:szCs w:val="24"/>
        </w:rPr>
        <w:t xml:space="preserve">udget </w:t>
      </w:r>
      <w:r w:rsidR="00A001C4">
        <w:rPr>
          <w:rFonts w:ascii="Times New Roman" w:hAnsi="Times New Roman" w:cs="Times New Roman"/>
          <w:sz w:val="24"/>
          <w:szCs w:val="24"/>
        </w:rPr>
        <w:t>R</w:t>
      </w:r>
      <w:r w:rsidRPr="00A81263">
        <w:rPr>
          <w:rFonts w:ascii="Times New Roman" w:hAnsi="Times New Roman" w:cs="Times New Roman"/>
          <w:sz w:val="24"/>
          <w:szCs w:val="24"/>
        </w:rPr>
        <w:t xml:space="preserve">equirements on the </w:t>
      </w:r>
      <w:r w:rsidR="00A001C4">
        <w:rPr>
          <w:rFonts w:ascii="Times New Roman" w:hAnsi="Times New Roman" w:cs="Times New Roman"/>
          <w:sz w:val="24"/>
          <w:szCs w:val="24"/>
        </w:rPr>
        <w:t>F</w:t>
      </w:r>
      <w:r w:rsidRPr="00A81263">
        <w:rPr>
          <w:rFonts w:ascii="Times New Roman" w:hAnsi="Times New Roman" w:cs="Times New Roman"/>
          <w:sz w:val="24"/>
          <w:szCs w:val="24"/>
        </w:rPr>
        <w:t xml:space="preserve">unding and </w:t>
      </w:r>
      <w:r w:rsidR="00A001C4">
        <w:rPr>
          <w:rFonts w:ascii="Times New Roman" w:hAnsi="Times New Roman" w:cs="Times New Roman"/>
          <w:sz w:val="24"/>
          <w:szCs w:val="24"/>
        </w:rPr>
        <w:t>M</w:t>
      </w:r>
      <w:r w:rsidRPr="00A81263">
        <w:rPr>
          <w:rFonts w:ascii="Times New Roman" w:hAnsi="Times New Roman" w:cs="Times New Roman"/>
          <w:sz w:val="24"/>
          <w:szCs w:val="24"/>
        </w:rPr>
        <w:t xml:space="preserve">easurement of </w:t>
      </w:r>
      <w:r w:rsidR="00A001C4">
        <w:rPr>
          <w:rFonts w:ascii="Times New Roman" w:hAnsi="Times New Roman" w:cs="Times New Roman"/>
          <w:sz w:val="24"/>
          <w:szCs w:val="24"/>
        </w:rPr>
        <w:t>State P</w:t>
      </w:r>
      <w:r w:rsidRPr="00A81263">
        <w:rPr>
          <w:rFonts w:ascii="Times New Roman" w:hAnsi="Times New Roman" w:cs="Times New Roman"/>
          <w:sz w:val="24"/>
          <w:szCs w:val="24"/>
        </w:rPr>
        <w:t xml:space="preserve">ension </w:t>
      </w:r>
      <w:r w:rsidR="00A001C4">
        <w:rPr>
          <w:rFonts w:ascii="Times New Roman" w:hAnsi="Times New Roman" w:cs="Times New Roman"/>
          <w:sz w:val="24"/>
          <w:szCs w:val="24"/>
        </w:rPr>
        <w:t>O</w:t>
      </w:r>
      <w:r w:rsidRPr="00A81263">
        <w:rPr>
          <w:rFonts w:ascii="Times New Roman" w:hAnsi="Times New Roman" w:cs="Times New Roman"/>
          <w:sz w:val="24"/>
          <w:szCs w:val="24"/>
        </w:rPr>
        <w:t>bligations</w:t>
      </w:r>
      <w:r w:rsidR="00A001C4">
        <w:rPr>
          <w:rFonts w:ascii="Times New Roman" w:hAnsi="Times New Roman" w:cs="Times New Roman"/>
          <w:sz w:val="24"/>
          <w:szCs w:val="24"/>
        </w:rPr>
        <w:t>.</w:t>
      </w:r>
      <w:r w:rsidRPr="00A81263">
        <w:rPr>
          <w:rFonts w:ascii="Times New Roman" w:hAnsi="Times New Roman" w:cs="Times New Roman"/>
          <w:sz w:val="24"/>
          <w:szCs w:val="24"/>
        </w:rPr>
        <w:t>" </w:t>
      </w:r>
      <w:proofErr w:type="gramStart"/>
      <w:r w:rsidRPr="00A81263">
        <w:rPr>
          <w:rFonts w:ascii="Times New Roman" w:hAnsi="Times New Roman" w:cs="Times New Roman"/>
          <w:i/>
          <w:iCs/>
          <w:sz w:val="24"/>
          <w:szCs w:val="24"/>
        </w:rPr>
        <w:t>Journal of Accounting and Public Policy.</w:t>
      </w:r>
      <w:proofErr w:type="gramEnd"/>
      <w:r w:rsidRPr="00A81263">
        <w:rPr>
          <w:rFonts w:ascii="Times New Roman" w:hAnsi="Times New Roman" w:cs="Times New Roman"/>
          <w:i/>
          <w:iCs/>
          <w:sz w:val="24"/>
          <w:szCs w:val="24"/>
        </w:rPr>
        <w:t> </w:t>
      </w:r>
      <w:r w:rsidRPr="00A81263">
        <w:rPr>
          <w:rFonts w:ascii="Times New Roman" w:hAnsi="Times New Roman" w:cs="Times New Roman"/>
          <w:sz w:val="24"/>
          <w:szCs w:val="24"/>
        </w:rPr>
        <w:t>21 (4-5): 287-313.</w:t>
      </w:r>
    </w:p>
    <w:p w14:paraId="3269A418" w14:textId="1BDEBE35" w:rsidR="00006749" w:rsidRDefault="00006749" w:rsidP="003A1CE9">
      <w:pPr>
        <w:spacing w:after="0" w:line="240" w:lineRule="auto"/>
        <w:ind w:left="720" w:hanging="720"/>
        <w:contextualSpacing/>
        <w:rPr>
          <w:rFonts w:ascii="Times New Roman" w:hAnsi="Times New Roman" w:cs="Times New Roman"/>
          <w:sz w:val="24"/>
          <w:szCs w:val="24"/>
        </w:rPr>
      </w:pPr>
      <w:r w:rsidRPr="00006749">
        <w:rPr>
          <w:rFonts w:ascii="Times New Roman" w:hAnsi="Times New Roman" w:cs="Times New Roman"/>
          <w:sz w:val="24"/>
          <w:szCs w:val="24"/>
        </w:rPr>
        <w:t>Chapman, J</w:t>
      </w:r>
      <w:r w:rsidR="00A001C4">
        <w:rPr>
          <w:rFonts w:ascii="Times New Roman" w:hAnsi="Times New Roman" w:cs="Times New Roman"/>
          <w:sz w:val="24"/>
          <w:szCs w:val="24"/>
        </w:rPr>
        <w:t>.</w:t>
      </w:r>
      <w:r w:rsidRPr="00006749">
        <w:rPr>
          <w:rFonts w:ascii="Times New Roman" w:hAnsi="Times New Roman" w:cs="Times New Roman"/>
          <w:sz w:val="24"/>
          <w:szCs w:val="24"/>
        </w:rPr>
        <w:t xml:space="preserve"> I. 2008. "State and </w:t>
      </w:r>
      <w:r w:rsidR="00A001C4">
        <w:rPr>
          <w:rFonts w:ascii="Times New Roman" w:hAnsi="Times New Roman" w:cs="Times New Roman"/>
          <w:sz w:val="24"/>
          <w:szCs w:val="24"/>
        </w:rPr>
        <w:t>L</w:t>
      </w:r>
      <w:r w:rsidRPr="00006749">
        <w:rPr>
          <w:rFonts w:ascii="Times New Roman" w:hAnsi="Times New Roman" w:cs="Times New Roman"/>
          <w:sz w:val="24"/>
          <w:szCs w:val="24"/>
        </w:rPr>
        <w:t xml:space="preserve">ocal </w:t>
      </w:r>
      <w:r w:rsidR="00A001C4">
        <w:rPr>
          <w:rFonts w:ascii="Times New Roman" w:hAnsi="Times New Roman" w:cs="Times New Roman"/>
          <w:sz w:val="24"/>
          <w:szCs w:val="24"/>
        </w:rPr>
        <w:t>F</w:t>
      </w:r>
      <w:r w:rsidRPr="00006749">
        <w:rPr>
          <w:rFonts w:ascii="Times New Roman" w:hAnsi="Times New Roman" w:cs="Times New Roman"/>
          <w:sz w:val="24"/>
          <w:szCs w:val="24"/>
        </w:rPr>
        <w:t xml:space="preserve">iscal </w:t>
      </w:r>
      <w:r w:rsidR="00A001C4">
        <w:rPr>
          <w:rFonts w:ascii="Times New Roman" w:hAnsi="Times New Roman" w:cs="Times New Roman"/>
          <w:sz w:val="24"/>
          <w:szCs w:val="24"/>
        </w:rPr>
        <w:t>S</w:t>
      </w:r>
      <w:r w:rsidRPr="00006749">
        <w:rPr>
          <w:rFonts w:ascii="Times New Roman" w:hAnsi="Times New Roman" w:cs="Times New Roman"/>
          <w:sz w:val="24"/>
          <w:szCs w:val="24"/>
        </w:rPr>
        <w:t xml:space="preserve">ustainability: The </w:t>
      </w:r>
      <w:r w:rsidR="00A001C4">
        <w:rPr>
          <w:rFonts w:ascii="Times New Roman" w:hAnsi="Times New Roman" w:cs="Times New Roman"/>
          <w:sz w:val="24"/>
          <w:szCs w:val="24"/>
        </w:rPr>
        <w:t>C</w:t>
      </w:r>
      <w:r w:rsidRPr="00006749">
        <w:rPr>
          <w:rFonts w:ascii="Times New Roman" w:hAnsi="Times New Roman" w:cs="Times New Roman"/>
          <w:sz w:val="24"/>
          <w:szCs w:val="24"/>
        </w:rPr>
        <w:t>hallenges."</w:t>
      </w:r>
      <w:r w:rsidRPr="00006749">
        <w:rPr>
          <w:rFonts w:ascii="Times New Roman" w:hAnsi="Times New Roman" w:cs="Times New Roman"/>
          <w:i/>
          <w:sz w:val="24"/>
          <w:szCs w:val="24"/>
        </w:rPr>
        <w:t xml:space="preserve"> </w:t>
      </w:r>
      <w:proofErr w:type="gramStart"/>
      <w:r w:rsidRPr="00006749">
        <w:rPr>
          <w:rFonts w:ascii="Times New Roman" w:hAnsi="Times New Roman" w:cs="Times New Roman"/>
          <w:i/>
          <w:sz w:val="24"/>
          <w:szCs w:val="24"/>
        </w:rPr>
        <w:t>Public Administration Review</w:t>
      </w:r>
      <w:r w:rsidRPr="00006749">
        <w:rPr>
          <w:rFonts w:ascii="Times New Roman" w:hAnsi="Times New Roman" w:cs="Times New Roman"/>
          <w:sz w:val="24"/>
          <w:szCs w:val="24"/>
        </w:rPr>
        <w:t>.</w:t>
      </w:r>
      <w:proofErr w:type="gramEnd"/>
      <w:r w:rsidRPr="00006749">
        <w:rPr>
          <w:rFonts w:ascii="Times New Roman" w:hAnsi="Times New Roman" w:cs="Times New Roman"/>
          <w:sz w:val="24"/>
          <w:szCs w:val="24"/>
        </w:rPr>
        <w:t xml:space="preserve"> 68 (s1):S115-S131.</w:t>
      </w:r>
    </w:p>
    <w:p w14:paraId="3D0E232B" w14:textId="2BCA7BF5" w:rsidR="004E23B2" w:rsidRPr="00A81263" w:rsidRDefault="004E23B2" w:rsidP="003A1CE9">
      <w:pPr>
        <w:spacing w:after="0" w:line="240" w:lineRule="auto"/>
        <w:ind w:left="720" w:hanging="720"/>
        <w:contextualSpacing/>
        <w:rPr>
          <w:rFonts w:ascii="Times New Roman" w:hAnsi="Times New Roman" w:cs="Times New Roman"/>
          <w:sz w:val="24"/>
          <w:szCs w:val="24"/>
        </w:rPr>
      </w:pPr>
      <w:proofErr w:type="gramStart"/>
      <w:r w:rsidRPr="00A81263">
        <w:rPr>
          <w:rFonts w:ascii="Times New Roman" w:hAnsi="Times New Roman" w:cs="Times New Roman"/>
          <w:sz w:val="24"/>
          <w:szCs w:val="24"/>
        </w:rPr>
        <w:t>Clark, R</w:t>
      </w:r>
      <w:r w:rsidR="00A001C4">
        <w:rPr>
          <w:rFonts w:ascii="Times New Roman" w:hAnsi="Times New Roman" w:cs="Times New Roman"/>
          <w:sz w:val="24"/>
          <w:szCs w:val="24"/>
        </w:rPr>
        <w:t>.</w:t>
      </w:r>
      <w:r w:rsidRPr="00A81263">
        <w:rPr>
          <w:rFonts w:ascii="Times New Roman" w:hAnsi="Times New Roman" w:cs="Times New Roman"/>
          <w:sz w:val="24"/>
          <w:szCs w:val="24"/>
        </w:rPr>
        <w:t xml:space="preserve"> L., L</w:t>
      </w:r>
      <w:r w:rsidR="00A001C4">
        <w:rPr>
          <w:rFonts w:ascii="Times New Roman" w:hAnsi="Times New Roman" w:cs="Times New Roman"/>
          <w:sz w:val="24"/>
          <w:szCs w:val="24"/>
        </w:rPr>
        <w:t>.</w:t>
      </w:r>
      <w:r w:rsidRPr="00A81263">
        <w:rPr>
          <w:rFonts w:ascii="Times New Roman" w:hAnsi="Times New Roman" w:cs="Times New Roman"/>
          <w:sz w:val="24"/>
          <w:szCs w:val="24"/>
        </w:rPr>
        <w:t xml:space="preserve"> A. Craig, and J</w:t>
      </w:r>
      <w:r w:rsidR="00A001C4">
        <w:rPr>
          <w:rFonts w:ascii="Times New Roman" w:hAnsi="Times New Roman" w:cs="Times New Roman"/>
          <w:sz w:val="24"/>
          <w:szCs w:val="24"/>
        </w:rPr>
        <w:t>. E.</w:t>
      </w:r>
      <w:r w:rsidRPr="00A81263">
        <w:rPr>
          <w:rFonts w:ascii="Times New Roman" w:hAnsi="Times New Roman" w:cs="Times New Roman"/>
          <w:sz w:val="24"/>
          <w:szCs w:val="24"/>
        </w:rPr>
        <w:t xml:space="preserve"> </w:t>
      </w:r>
      <w:proofErr w:type="spellStart"/>
      <w:r w:rsidRPr="00A81263">
        <w:rPr>
          <w:rFonts w:ascii="Times New Roman" w:hAnsi="Times New Roman" w:cs="Times New Roman"/>
          <w:sz w:val="24"/>
          <w:szCs w:val="24"/>
        </w:rPr>
        <w:t>Sabelhaus</w:t>
      </w:r>
      <w:proofErr w:type="spellEnd"/>
      <w:r w:rsidRPr="00A81263">
        <w:rPr>
          <w:rFonts w:ascii="Times New Roman" w:hAnsi="Times New Roman" w:cs="Times New Roman"/>
          <w:sz w:val="24"/>
          <w:szCs w:val="24"/>
        </w:rPr>
        <w:t>.</w:t>
      </w:r>
      <w:proofErr w:type="gramEnd"/>
      <w:r w:rsidRPr="00A81263">
        <w:rPr>
          <w:rFonts w:ascii="Times New Roman" w:hAnsi="Times New Roman" w:cs="Times New Roman"/>
          <w:sz w:val="24"/>
          <w:szCs w:val="24"/>
        </w:rPr>
        <w:t xml:space="preserve"> </w:t>
      </w:r>
      <w:proofErr w:type="gramStart"/>
      <w:r w:rsidRPr="00A81263">
        <w:rPr>
          <w:rFonts w:ascii="Times New Roman" w:hAnsi="Times New Roman" w:cs="Times New Roman"/>
          <w:sz w:val="24"/>
          <w:szCs w:val="24"/>
        </w:rPr>
        <w:t>(2011). </w:t>
      </w:r>
      <w:r w:rsidRPr="00A81263">
        <w:rPr>
          <w:rFonts w:ascii="Times New Roman" w:hAnsi="Times New Roman" w:cs="Times New Roman"/>
          <w:i/>
          <w:iCs/>
          <w:sz w:val="24"/>
          <w:szCs w:val="24"/>
        </w:rPr>
        <w:t xml:space="preserve">State and </w:t>
      </w:r>
      <w:r w:rsidR="00A001C4">
        <w:rPr>
          <w:rFonts w:ascii="Times New Roman" w:hAnsi="Times New Roman" w:cs="Times New Roman"/>
          <w:i/>
          <w:iCs/>
          <w:sz w:val="24"/>
          <w:szCs w:val="24"/>
        </w:rPr>
        <w:t>L</w:t>
      </w:r>
      <w:r w:rsidRPr="00A81263">
        <w:rPr>
          <w:rFonts w:ascii="Times New Roman" w:hAnsi="Times New Roman" w:cs="Times New Roman"/>
          <w:i/>
          <w:iCs/>
          <w:sz w:val="24"/>
          <w:szCs w:val="24"/>
        </w:rPr>
        <w:t xml:space="preserve">ocal </w:t>
      </w:r>
      <w:r w:rsidR="00A001C4">
        <w:rPr>
          <w:rFonts w:ascii="Times New Roman" w:hAnsi="Times New Roman" w:cs="Times New Roman"/>
          <w:i/>
          <w:iCs/>
          <w:sz w:val="24"/>
          <w:szCs w:val="24"/>
        </w:rPr>
        <w:t>R</w:t>
      </w:r>
      <w:r w:rsidRPr="00A81263">
        <w:rPr>
          <w:rFonts w:ascii="Times New Roman" w:hAnsi="Times New Roman" w:cs="Times New Roman"/>
          <w:i/>
          <w:iCs/>
          <w:sz w:val="24"/>
          <w:szCs w:val="24"/>
        </w:rPr>
        <w:t xml:space="preserve">etirement </w:t>
      </w:r>
      <w:r w:rsidR="00A001C4">
        <w:rPr>
          <w:rFonts w:ascii="Times New Roman" w:hAnsi="Times New Roman" w:cs="Times New Roman"/>
          <w:i/>
          <w:iCs/>
          <w:sz w:val="24"/>
          <w:szCs w:val="24"/>
        </w:rPr>
        <w:t>P</w:t>
      </w:r>
      <w:r w:rsidRPr="00A81263">
        <w:rPr>
          <w:rFonts w:ascii="Times New Roman" w:hAnsi="Times New Roman" w:cs="Times New Roman"/>
          <w:i/>
          <w:iCs/>
          <w:sz w:val="24"/>
          <w:szCs w:val="24"/>
        </w:rPr>
        <w:t>lans in the United States</w:t>
      </w:r>
      <w:r w:rsidRPr="00A81263">
        <w:rPr>
          <w:rFonts w:ascii="Times New Roman" w:hAnsi="Times New Roman" w:cs="Times New Roman"/>
          <w:sz w:val="24"/>
          <w:szCs w:val="24"/>
        </w:rPr>
        <w:t>.</w:t>
      </w:r>
      <w:proofErr w:type="gramEnd"/>
      <w:r w:rsidRPr="00A81263">
        <w:rPr>
          <w:rFonts w:ascii="Times New Roman" w:hAnsi="Times New Roman" w:cs="Times New Roman"/>
          <w:sz w:val="24"/>
          <w:szCs w:val="24"/>
        </w:rPr>
        <w:t xml:space="preserve"> Cheltenham, UK: Edward Elgar.</w:t>
      </w:r>
    </w:p>
    <w:p w14:paraId="4D0FF14A" w14:textId="428D8268" w:rsidR="00006749" w:rsidRDefault="00006749" w:rsidP="002629C2">
      <w:pPr>
        <w:spacing w:after="0" w:line="240" w:lineRule="auto"/>
        <w:ind w:left="720" w:hanging="720"/>
        <w:contextualSpacing/>
        <w:rPr>
          <w:rFonts w:ascii="Times New Roman" w:hAnsi="Times New Roman" w:cs="Times New Roman"/>
          <w:sz w:val="24"/>
          <w:szCs w:val="24"/>
        </w:rPr>
      </w:pPr>
      <w:proofErr w:type="spellStart"/>
      <w:r w:rsidRPr="00006749">
        <w:rPr>
          <w:rFonts w:ascii="Times New Roman" w:hAnsi="Times New Roman" w:cs="Times New Roman"/>
          <w:sz w:val="24"/>
          <w:szCs w:val="24"/>
        </w:rPr>
        <w:t>Dufresne</w:t>
      </w:r>
      <w:proofErr w:type="spellEnd"/>
      <w:r w:rsidRPr="00006749">
        <w:rPr>
          <w:rFonts w:ascii="Times New Roman" w:hAnsi="Times New Roman" w:cs="Times New Roman"/>
          <w:sz w:val="24"/>
          <w:szCs w:val="24"/>
        </w:rPr>
        <w:t>, D</w:t>
      </w:r>
      <w:r w:rsidR="00A001C4">
        <w:rPr>
          <w:rFonts w:ascii="Times New Roman" w:hAnsi="Times New Roman" w:cs="Times New Roman"/>
          <w:sz w:val="24"/>
          <w:szCs w:val="24"/>
        </w:rPr>
        <w:t>.</w:t>
      </w:r>
      <w:r w:rsidRPr="00006749">
        <w:rPr>
          <w:rFonts w:ascii="Times New Roman" w:hAnsi="Times New Roman" w:cs="Times New Roman"/>
          <w:sz w:val="24"/>
          <w:szCs w:val="24"/>
        </w:rPr>
        <w:t xml:space="preserve"> 1988. </w:t>
      </w:r>
      <w:proofErr w:type="gramStart"/>
      <w:r w:rsidRPr="00006749">
        <w:rPr>
          <w:rFonts w:ascii="Times New Roman" w:hAnsi="Times New Roman" w:cs="Times New Roman"/>
          <w:sz w:val="24"/>
          <w:szCs w:val="24"/>
        </w:rPr>
        <w:t xml:space="preserve">"Movements of </w:t>
      </w:r>
      <w:r w:rsidR="00A001C4">
        <w:rPr>
          <w:rFonts w:ascii="Times New Roman" w:hAnsi="Times New Roman" w:cs="Times New Roman"/>
          <w:sz w:val="24"/>
          <w:szCs w:val="24"/>
        </w:rPr>
        <w:t>P</w:t>
      </w:r>
      <w:r w:rsidRPr="00006749">
        <w:rPr>
          <w:rFonts w:ascii="Times New Roman" w:hAnsi="Times New Roman" w:cs="Times New Roman"/>
          <w:sz w:val="24"/>
          <w:szCs w:val="24"/>
        </w:rPr>
        <w:t xml:space="preserve">ension </w:t>
      </w:r>
      <w:r w:rsidR="00A001C4">
        <w:rPr>
          <w:rFonts w:ascii="Times New Roman" w:hAnsi="Times New Roman" w:cs="Times New Roman"/>
          <w:sz w:val="24"/>
          <w:szCs w:val="24"/>
        </w:rPr>
        <w:t>C</w:t>
      </w:r>
      <w:r w:rsidRPr="00006749">
        <w:rPr>
          <w:rFonts w:ascii="Times New Roman" w:hAnsi="Times New Roman" w:cs="Times New Roman"/>
          <w:sz w:val="24"/>
          <w:szCs w:val="24"/>
        </w:rPr>
        <w:t xml:space="preserve">ontributions and </w:t>
      </w:r>
      <w:r w:rsidR="00A001C4">
        <w:rPr>
          <w:rFonts w:ascii="Times New Roman" w:hAnsi="Times New Roman" w:cs="Times New Roman"/>
          <w:sz w:val="24"/>
          <w:szCs w:val="24"/>
        </w:rPr>
        <w:t>F</w:t>
      </w:r>
      <w:r w:rsidRPr="00006749">
        <w:rPr>
          <w:rFonts w:ascii="Times New Roman" w:hAnsi="Times New Roman" w:cs="Times New Roman"/>
          <w:sz w:val="24"/>
          <w:szCs w:val="24"/>
        </w:rPr>
        <w:t xml:space="preserve">und </w:t>
      </w:r>
      <w:r w:rsidR="00A001C4">
        <w:rPr>
          <w:rFonts w:ascii="Times New Roman" w:hAnsi="Times New Roman" w:cs="Times New Roman"/>
          <w:sz w:val="24"/>
          <w:szCs w:val="24"/>
        </w:rPr>
        <w:t>L</w:t>
      </w:r>
      <w:r w:rsidRPr="00006749">
        <w:rPr>
          <w:rFonts w:ascii="Times New Roman" w:hAnsi="Times New Roman" w:cs="Times New Roman"/>
          <w:sz w:val="24"/>
          <w:szCs w:val="24"/>
        </w:rPr>
        <w:t xml:space="preserve">evels when </w:t>
      </w:r>
      <w:r w:rsidR="00A001C4">
        <w:rPr>
          <w:rFonts w:ascii="Times New Roman" w:hAnsi="Times New Roman" w:cs="Times New Roman"/>
          <w:sz w:val="24"/>
          <w:szCs w:val="24"/>
        </w:rPr>
        <w:t>R</w:t>
      </w:r>
      <w:r w:rsidRPr="00006749">
        <w:rPr>
          <w:rFonts w:ascii="Times New Roman" w:hAnsi="Times New Roman" w:cs="Times New Roman"/>
          <w:sz w:val="24"/>
          <w:szCs w:val="24"/>
        </w:rPr>
        <w:t xml:space="preserve">ates of </w:t>
      </w:r>
      <w:r w:rsidR="00A001C4">
        <w:rPr>
          <w:rFonts w:ascii="Times New Roman" w:hAnsi="Times New Roman" w:cs="Times New Roman"/>
          <w:sz w:val="24"/>
          <w:szCs w:val="24"/>
        </w:rPr>
        <w:t>R</w:t>
      </w:r>
      <w:r w:rsidRPr="00006749">
        <w:rPr>
          <w:rFonts w:ascii="Times New Roman" w:hAnsi="Times New Roman" w:cs="Times New Roman"/>
          <w:sz w:val="24"/>
          <w:szCs w:val="24"/>
        </w:rPr>
        <w:t xml:space="preserve">eturn are </w:t>
      </w:r>
      <w:r w:rsidR="00A001C4">
        <w:rPr>
          <w:rFonts w:ascii="Times New Roman" w:hAnsi="Times New Roman" w:cs="Times New Roman"/>
          <w:sz w:val="24"/>
          <w:szCs w:val="24"/>
        </w:rPr>
        <w:t>R</w:t>
      </w:r>
      <w:r w:rsidRPr="00006749">
        <w:rPr>
          <w:rFonts w:ascii="Times New Roman" w:hAnsi="Times New Roman" w:cs="Times New Roman"/>
          <w:sz w:val="24"/>
          <w:szCs w:val="24"/>
        </w:rPr>
        <w:t>andom."</w:t>
      </w:r>
      <w:proofErr w:type="gramEnd"/>
      <w:r w:rsidRPr="00006749">
        <w:rPr>
          <w:rFonts w:ascii="Times New Roman" w:hAnsi="Times New Roman" w:cs="Times New Roman"/>
          <w:sz w:val="24"/>
          <w:szCs w:val="24"/>
        </w:rPr>
        <w:t xml:space="preserve"> </w:t>
      </w:r>
      <w:proofErr w:type="gramStart"/>
      <w:r w:rsidRPr="00006749">
        <w:rPr>
          <w:rFonts w:ascii="Times New Roman" w:hAnsi="Times New Roman" w:cs="Times New Roman"/>
          <w:i/>
          <w:sz w:val="24"/>
          <w:szCs w:val="24"/>
        </w:rPr>
        <w:t>Journal of the Institute of Actuaries</w:t>
      </w:r>
      <w:r w:rsidRPr="00006749">
        <w:rPr>
          <w:rFonts w:ascii="Times New Roman" w:hAnsi="Times New Roman" w:cs="Times New Roman"/>
          <w:sz w:val="24"/>
          <w:szCs w:val="24"/>
        </w:rPr>
        <w:t>.</w:t>
      </w:r>
      <w:proofErr w:type="gramEnd"/>
      <w:r w:rsidRPr="00006749">
        <w:rPr>
          <w:rFonts w:ascii="Times New Roman" w:hAnsi="Times New Roman" w:cs="Times New Roman"/>
          <w:sz w:val="24"/>
          <w:szCs w:val="24"/>
        </w:rPr>
        <w:t xml:space="preserve"> 115 (3):535-544.</w:t>
      </w:r>
    </w:p>
    <w:p w14:paraId="10693EDA" w14:textId="08FBB054" w:rsidR="00855F34" w:rsidRDefault="00855F34" w:rsidP="002629C2">
      <w:pPr>
        <w:spacing w:after="0" w:line="240" w:lineRule="auto"/>
        <w:ind w:left="720" w:hanging="720"/>
        <w:contextualSpacing/>
        <w:rPr>
          <w:rFonts w:ascii="Times New Roman" w:hAnsi="Times New Roman" w:cs="Times New Roman"/>
          <w:sz w:val="24"/>
          <w:szCs w:val="24"/>
        </w:rPr>
      </w:pPr>
      <w:proofErr w:type="spellStart"/>
      <w:r w:rsidRPr="00855F34">
        <w:rPr>
          <w:rFonts w:ascii="Times New Roman" w:hAnsi="Times New Roman" w:cs="Times New Roman"/>
          <w:sz w:val="24"/>
          <w:szCs w:val="24"/>
        </w:rPr>
        <w:t>Dulebohn</w:t>
      </w:r>
      <w:proofErr w:type="spellEnd"/>
      <w:r w:rsidRPr="00855F34">
        <w:rPr>
          <w:rFonts w:ascii="Times New Roman" w:hAnsi="Times New Roman" w:cs="Times New Roman"/>
          <w:sz w:val="24"/>
          <w:szCs w:val="24"/>
        </w:rPr>
        <w:t>, J</w:t>
      </w:r>
      <w:r w:rsidR="00A001C4">
        <w:rPr>
          <w:rFonts w:ascii="Times New Roman" w:hAnsi="Times New Roman" w:cs="Times New Roman"/>
          <w:sz w:val="24"/>
          <w:szCs w:val="24"/>
        </w:rPr>
        <w:t>.</w:t>
      </w:r>
      <w:r w:rsidRPr="00855F34">
        <w:rPr>
          <w:rFonts w:ascii="Times New Roman" w:hAnsi="Times New Roman" w:cs="Times New Roman"/>
          <w:sz w:val="24"/>
          <w:szCs w:val="24"/>
        </w:rPr>
        <w:t xml:space="preserve"> H. 1995. "A </w:t>
      </w:r>
      <w:r w:rsidR="00A001C4">
        <w:rPr>
          <w:rFonts w:ascii="Times New Roman" w:hAnsi="Times New Roman" w:cs="Times New Roman"/>
          <w:sz w:val="24"/>
          <w:szCs w:val="24"/>
        </w:rPr>
        <w:t>L</w:t>
      </w:r>
      <w:r w:rsidRPr="00855F34">
        <w:rPr>
          <w:rFonts w:ascii="Times New Roman" w:hAnsi="Times New Roman" w:cs="Times New Roman"/>
          <w:sz w:val="24"/>
          <w:szCs w:val="24"/>
        </w:rPr>
        <w:t xml:space="preserve">ongitudinal and </w:t>
      </w:r>
      <w:r w:rsidR="00A001C4">
        <w:rPr>
          <w:rFonts w:ascii="Times New Roman" w:hAnsi="Times New Roman" w:cs="Times New Roman"/>
          <w:sz w:val="24"/>
          <w:szCs w:val="24"/>
        </w:rPr>
        <w:t>C</w:t>
      </w:r>
      <w:r w:rsidRPr="00855F34">
        <w:rPr>
          <w:rFonts w:ascii="Times New Roman" w:hAnsi="Times New Roman" w:cs="Times New Roman"/>
          <w:sz w:val="24"/>
          <w:szCs w:val="24"/>
        </w:rPr>
        <w:t xml:space="preserve">omparative </w:t>
      </w:r>
      <w:r w:rsidR="00A001C4">
        <w:rPr>
          <w:rFonts w:ascii="Times New Roman" w:hAnsi="Times New Roman" w:cs="Times New Roman"/>
          <w:sz w:val="24"/>
          <w:szCs w:val="24"/>
        </w:rPr>
        <w:t>A</w:t>
      </w:r>
      <w:r w:rsidRPr="00855F34">
        <w:rPr>
          <w:rFonts w:ascii="Times New Roman" w:hAnsi="Times New Roman" w:cs="Times New Roman"/>
          <w:sz w:val="24"/>
          <w:szCs w:val="24"/>
        </w:rPr>
        <w:t xml:space="preserve">nalysis of the </w:t>
      </w:r>
      <w:r w:rsidR="00A001C4">
        <w:rPr>
          <w:rFonts w:ascii="Times New Roman" w:hAnsi="Times New Roman" w:cs="Times New Roman"/>
          <w:sz w:val="24"/>
          <w:szCs w:val="24"/>
        </w:rPr>
        <w:t>F</w:t>
      </w:r>
      <w:r w:rsidRPr="00855F34">
        <w:rPr>
          <w:rFonts w:ascii="Times New Roman" w:hAnsi="Times New Roman" w:cs="Times New Roman"/>
          <w:sz w:val="24"/>
          <w:szCs w:val="24"/>
        </w:rPr>
        <w:t xml:space="preserve">unded </w:t>
      </w:r>
      <w:r w:rsidR="00A001C4">
        <w:rPr>
          <w:rFonts w:ascii="Times New Roman" w:hAnsi="Times New Roman" w:cs="Times New Roman"/>
          <w:sz w:val="24"/>
          <w:szCs w:val="24"/>
        </w:rPr>
        <w:t>S</w:t>
      </w:r>
      <w:r w:rsidRPr="00855F34">
        <w:rPr>
          <w:rFonts w:ascii="Times New Roman" w:hAnsi="Times New Roman" w:cs="Times New Roman"/>
          <w:sz w:val="24"/>
          <w:szCs w:val="24"/>
        </w:rPr>
        <w:t xml:space="preserve">tatus of </w:t>
      </w:r>
      <w:r w:rsidR="00A001C4">
        <w:rPr>
          <w:rFonts w:ascii="Times New Roman" w:hAnsi="Times New Roman" w:cs="Times New Roman"/>
          <w:sz w:val="24"/>
          <w:szCs w:val="24"/>
        </w:rPr>
        <w:t>S</w:t>
      </w:r>
      <w:r w:rsidRPr="00855F34">
        <w:rPr>
          <w:rFonts w:ascii="Times New Roman" w:hAnsi="Times New Roman" w:cs="Times New Roman"/>
          <w:sz w:val="24"/>
          <w:szCs w:val="24"/>
        </w:rPr>
        <w:t xml:space="preserve">tate and </w:t>
      </w:r>
      <w:r w:rsidR="00A001C4">
        <w:rPr>
          <w:rFonts w:ascii="Times New Roman" w:hAnsi="Times New Roman" w:cs="Times New Roman"/>
          <w:sz w:val="24"/>
          <w:szCs w:val="24"/>
        </w:rPr>
        <w:t>L</w:t>
      </w:r>
      <w:r w:rsidRPr="00855F34">
        <w:rPr>
          <w:rFonts w:ascii="Times New Roman" w:hAnsi="Times New Roman" w:cs="Times New Roman"/>
          <w:sz w:val="24"/>
          <w:szCs w:val="24"/>
        </w:rPr>
        <w:t xml:space="preserve">ocal </w:t>
      </w:r>
      <w:r w:rsidR="00A001C4">
        <w:rPr>
          <w:rFonts w:ascii="Times New Roman" w:hAnsi="Times New Roman" w:cs="Times New Roman"/>
          <w:sz w:val="24"/>
          <w:szCs w:val="24"/>
        </w:rPr>
        <w:t>P</w:t>
      </w:r>
      <w:r w:rsidRPr="00855F34">
        <w:rPr>
          <w:rFonts w:ascii="Times New Roman" w:hAnsi="Times New Roman" w:cs="Times New Roman"/>
          <w:sz w:val="24"/>
          <w:szCs w:val="24"/>
        </w:rPr>
        <w:t xml:space="preserve">ublic </w:t>
      </w:r>
      <w:r w:rsidR="00A001C4">
        <w:rPr>
          <w:rFonts w:ascii="Times New Roman" w:hAnsi="Times New Roman" w:cs="Times New Roman"/>
          <w:sz w:val="24"/>
          <w:szCs w:val="24"/>
        </w:rPr>
        <w:t>P</w:t>
      </w:r>
      <w:r w:rsidRPr="00855F34">
        <w:rPr>
          <w:rFonts w:ascii="Times New Roman" w:hAnsi="Times New Roman" w:cs="Times New Roman"/>
          <w:sz w:val="24"/>
          <w:szCs w:val="24"/>
        </w:rPr>
        <w:t xml:space="preserve">ension </w:t>
      </w:r>
      <w:r w:rsidR="00A001C4">
        <w:rPr>
          <w:rFonts w:ascii="Times New Roman" w:hAnsi="Times New Roman" w:cs="Times New Roman"/>
          <w:sz w:val="24"/>
          <w:szCs w:val="24"/>
        </w:rPr>
        <w:t>P</w:t>
      </w:r>
      <w:r w:rsidRPr="00855F34">
        <w:rPr>
          <w:rFonts w:ascii="Times New Roman" w:hAnsi="Times New Roman" w:cs="Times New Roman"/>
          <w:sz w:val="24"/>
          <w:szCs w:val="24"/>
        </w:rPr>
        <w:t xml:space="preserve">lans." </w:t>
      </w:r>
      <w:proofErr w:type="gramStart"/>
      <w:r w:rsidRPr="00855F34">
        <w:rPr>
          <w:rFonts w:ascii="Times New Roman" w:hAnsi="Times New Roman" w:cs="Times New Roman"/>
          <w:i/>
          <w:sz w:val="24"/>
          <w:szCs w:val="24"/>
        </w:rPr>
        <w:t>Public Budgeting &amp; Finance</w:t>
      </w:r>
      <w:r w:rsidRPr="00855F34">
        <w:rPr>
          <w:rFonts w:ascii="Times New Roman" w:hAnsi="Times New Roman" w:cs="Times New Roman"/>
          <w:sz w:val="24"/>
          <w:szCs w:val="24"/>
        </w:rPr>
        <w:t>.</w:t>
      </w:r>
      <w:proofErr w:type="gramEnd"/>
      <w:r w:rsidRPr="00855F34">
        <w:rPr>
          <w:rFonts w:ascii="Times New Roman" w:hAnsi="Times New Roman" w:cs="Times New Roman"/>
          <w:sz w:val="24"/>
          <w:szCs w:val="24"/>
        </w:rPr>
        <w:t xml:space="preserve"> 15 (2):52-72.</w:t>
      </w:r>
    </w:p>
    <w:p w14:paraId="6267FC3D" w14:textId="352F3F85" w:rsidR="004E23B2" w:rsidRPr="00A81263" w:rsidRDefault="004E23B2" w:rsidP="002629C2">
      <w:pPr>
        <w:spacing w:after="0" w:line="240" w:lineRule="auto"/>
        <w:ind w:left="720" w:hanging="720"/>
        <w:contextualSpacing/>
        <w:rPr>
          <w:rFonts w:ascii="Times New Roman" w:hAnsi="Times New Roman" w:cs="Times New Roman"/>
          <w:sz w:val="24"/>
          <w:szCs w:val="24"/>
        </w:rPr>
      </w:pPr>
      <w:proofErr w:type="gramStart"/>
      <w:r w:rsidRPr="00A81263">
        <w:rPr>
          <w:rFonts w:ascii="Times New Roman" w:hAnsi="Times New Roman" w:cs="Times New Roman"/>
          <w:sz w:val="24"/>
          <w:szCs w:val="24"/>
        </w:rPr>
        <w:t xml:space="preserve">Eaton, T. V., and J. R. </w:t>
      </w:r>
      <w:proofErr w:type="spellStart"/>
      <w:r w:rsidRPr="00A81263">
        <w:rPr>
          <w:rFonts w:ascii="Times New Roman" w:hAnsi="Times New Roman" w:cs="Times New Roman"/>
          <w:sz w:val="24"/>
          <w:szCs w:val="24"/>
        </w:rPr>
        <w:t>Nofsinger</w:t>
      </w:r>
      <w:proofErr w:type="spellEnd"/>
      <w:r w:rsidRPr="00A81263">
        <w:rPr>
          <w:rFonts w:ascii="Times New Roman" w:hAnsi="Times New Roman" w:cs="Times New Roman"/>
          <w:sz w:val="24"/>
          <w:szCs w:val="24"/>
        </w:rPr>
        <w:t>.</w:t>
      </w:r>
      <w:proofErr w:type="gramEnd"/>
      <w:r w:rsidRPr="00A81263">
        <w:rPr>
          <w:rFonts w:ascii="Times New Roman" w:hAnsi="Times New Roman" w:cs="Times New Roman"/>
          <w:sz w:val="24"/>
          <w:szCs w:val="24"/>
        </w:rPr>
        <w:t xml:space="preserve"> 2004. </w:t>
      </w:r>
      <w:r w:rsidR="005E4DB5" w:rsidRPr="00E31C77">
        <w:rPr>
          <w:rFonts w:ascii="Times New Roman" w:hAnsi="Times New Roman" w:cs="Times New Roman"/>
          <w:sz w:val="24"/>
          <w:szCs w:val="24"/>
        </w:rPr>
        <w:t>"</w:t>
      </w:r>
      <w:r w:rsidRPr="00A81263">
        <w:rPr>
          <w:rFonts w:ascii="Times New Roman" w:hAnsi="Times New Roman" w:cs="Times New Roman"/>
          <w:sz w:val="24"/>
          <w:szCs w:val="24"/>
        </w:rPr>
        <w:t xml:space="preserve">The Effect of Financial Constraints and Political Pressure </w:t>
      </w:r>
      <w:r w:rsidR="00A81263" w:rsidRPr="00A81263">
        <w:rPr>
          <w:rFonts w:ascii="Times New Roman" w:hAnsi="Times New Roman" w:cs="Times New Roman"/>
          <w:sz w:val="24"/>
          <w:szCs w:val="24"/>
        </w:rPr>
        <w:t>on</w:t>
      </w:r>
      <w:r w:rsidRPr="00A81263">
        <w:rPr>
          <w:rFonts w:ascii="Times New Roman" w:hAnsi="Times New Roman" w:cs="Times New Roman"/>
          <w:sz w:val="24"/>
          <w:szCs w:val="24"/>
        </w:rPr>
        <w:t xml:space="preserve"> </w:t>
      </w:r>
      <w:r w:rsidR="00A001C4">
        <w:rPr>
          <w:rFonts w:ascii="Times New Roman" w:hAnsi="Times New Roman" w:cs="Times New Roman"/>
          <w:sz w:val="24"/>
          <w:szCs w:val="24"/>
        </w:rPr>
        <w:t>t</w:t>
      </w:r>
      <w:r w:rsidRPr="00A81263">
        <w:rPr>
          <w:rFonts w:ascii="Times New Roman" w:hAnsi="Times New Roman" w:cs="Times New Roman"/>
          <w:sz w:val="24"/>
          <w:szCs w:val="24"/>
        </w:rPr>
        <w:t xml:space="preserve">he Management </w:t>
      </w:r>
      <w:r w:rsidR="00A001C4">
        <w:rPr>
          <w:rFonts w:ascii="Times New Roman" w:hAnsi="Times New Roman" w:cs="Times New Roman"/>
          <w:sz w:val="24"/>
          <w:szCs w:val="24"/>
        </w:rPr>
        <w:t>o</w:t>
      </w:r>
      <w:r w:rsidRPr="00A81263">
        <w:rPr>
          <w:rFonts w:ascii="Times New Roman" w:hAnsi="Times New Roman" w:cs="Times New Roman"/>
          <w:sz w:val="24"/>
          <w:szCs w:val="24"/>
        </w:rPr>
        <w:t>f Public Pension Plans</w:t>
      </w:r>
      <w:r w:rsidR="00A001C4">
        <w:rPr>
          <w:rFonts w:ascii="Times New Roman" w:hAnsi="Times New Roman" w:cs="Times New Roman"/>
          <w:sz w:val="24"/>
          <w:szCs w:val="24"/>
        </w:rPr>
        <w:t>.</w:t>
      </w:r>
      <w:r w:rsidR="005E4DB5" w:rsidRPr="00E31C77">
        <w:rPr>
          <w:rFonts w:ascii="Times New Roman" w:hAnsi="Times New Roman" w:cs="Times New Roman"/>
          <w:sz w:val="24"/>
          <w:szCs w:val="24"/>
        </w:rPr>
        <w:t>"</w:t>
      </w:r>
      <w:r w:rsidRPr="00A81263">
        <w:rPr>
          <w:rFonts w:ascii="Times New Roman" w:hAnsi="Times New Roman" w:cs="Times New Roman"/>
          <w:sz w:val="24"/>
          <w:szCs w:val="24"/>
        </w:rPr>
        <w:t xml:space="preserve"> </w:t>
      </w:r>
      <w:r w:rsidRPr="00A81263">
        <w:rPr>
          <w:rFonts w:ascii="Times New Roman" w:hAnsi="Times New Roman" w:cs="Times New Roman"/>
          <w:i/>
          <w:iCs/>
          <w:sz w:val="24"/>
          <w:szCs w:val="24"/>
        </w:rPr>
        <w:t xml:space="preserve">Journal of Accounting and Public Policy, </w:t>
      </w:r>
      <w:r w:rsidRPr="00A81263">
        <w:rPr>
          <w:rFonts w:ascii="Times New Roman" w:hAnsi="Times New Roman" w:cs="Times New Roman"/>
          <w:iCs/>
          <w:sz w:val="24"/>
          <w:szCs w:val="24"/>
        </w:rPr>
        <w:t>23(</w:t>
      </w:r>
      <w:r w:rsidRPr="00A81263">
        <w:rPr>
          <w:rFonts w:ascii="Times New Roman" w:hAnsi="Times New Roman" w:cs="Times New Roman"/>
          <w:sz w:val="24"/>
          <w:szCs w:val="24"/>
        </w:rPr>
        <w:t>3):161-189.</w:t>
      </w:r>
    </w:p>
    <w:p w14:paraId="2F728A18" w14:textId="3256D50B" w:rsidR="009B452C" w:rsidRDefault="009B452C" w:rsidP="002946C7">
      <w:pPr>
        <w:spacing w:after="0" w:line="240" w:lineRule="auto"/>
        <w:ind w:left="720" w:hanging="720"/>
        <w:contextualSpacing/>
        <w:rPr>
          <w:rFonts w:ascii="Times New Roman" w:hAnsi="Times New Roman" w:cs="Times New Roman"/>
          <w:sz w:val="24"/>
          <w:szCs w:val="24"/>
        </w:rPr>
      </w:pPr>
      <w:proofErr w:type="gramStart"/>
      <w:r w:rsidRPr="009B452C">
        <w:rPr>
          <w:rFonts w:ascii="Times New Roman" w:hAnsi="Times New Roman" w:cs="Times New Roman" w:hint="eastAsia"/>
          <w:sz w:val="24"/>
          <w:szCs w:val="24"/>
        </w:rPr>
        <w:t>Ezra, D. D. 1980.</w:t>
      </w:r>
      <w:proofErr w:type="gramEnd"/>
      <w:r w:rsidRPr="009B452C">
        <w:rPr>
          <w:rFonts w:ascii="Times New Roman" w:hAnsi="Times New Roman" w:cs="Times New Roman" w:hint="eastAsia"/>
          <w:sz w:val="24"/>
          <w:szCs w:val="24"/>
        </w:rPr>
        <w:t xml:space="preserve"> "How Actuaries Determine the Unfunded Pension Liability</w:t>
      </w:r>
      <w:r w:rsidR="00A001C4">
        <w:rPr>
          <w:rFonts w:ascii="Times New Roman" w:hAnsi="Times New Roman" w:cs="Times New Roman"/>
          <w:sz w:val="24"/>
          <w:szCs w:val="24"/>
        </w:rPr>
        <w:t>.</w:t>
      </w:r>
      <w:r w:rsidRPr="009B452C">
        <w:rPr>
          <w:rFonts w:ascii="Times New Roman" w:hAnsi="Times New Roman" w:cs="Times New Roman" w:hint="eastAsia"/>
          <w:sz w:val="24"/>
          <w:szCs w:val="24"/>
        </w:rPr>
        <w:t>"</w:t>
      </w:r>
      <w:r>
        <w:rPr>
          <w:rFonts w:ascii="Times New Roman" w:hAnsi="Times New Roman" w:cs="Times New Roman"/>
          <w:sz w:val="24"/>
          <w:szCs w:val="24"/>
        </w:rPr>
        <w:t xml:space="preserve"> </w:t>
      </w:r>
      <w:proofErr w:type="gramStart"/>
      <w:r w:rsidRPr="009B452C">
        <w:rPr>
          <w:rFonts w:ascii="Times New Roman" w:hAnsi="Times New Roman" w:cs="Times New Roman" w:hint="eastAsia"/>
          <w:i/>
          <w:iCs/>
          <w:sz w:val="24"/>
          <w:szCs w:val="24"/>
        </w:rPr>
        <w:t>Financial Analysts Journal.</w:t>
      </w:r>
      <w:proofErr w:type="gramEnd"/>
      <w:r w:rsidRPr="009B452C">
        <w:rPr>
          <w:rFonts w:ascii="Times New Roman" w:hAnsi="Times New Roman" w:cs="Times New Roman" w:hint="eastAsia"/>
          <w:i/>
          <w:iCs/>
          <w:sz w:val="24"/>
          <w:szCs w:val="24"/>
        </w:rPr>
        <w:t> </w:t>
      </w:r>
      <w:r w:rsidRPr="009B452C">
        <w:rPr>
          <w:rFonts w:ascii="Times New Roman" w:hAnsi="Times New Roman" w:cs="Times New Roman" w:hint="eastAsia"/>
          <w:sz w:val="24"/>
          <w:szCs w:val="24"/>
        </w:rPr>
        <w:t>36 (4): 43-50.</w:t>
      </w:r>
    </w:p>
    <w:p w14:paraId="4A44A546" w14:textId="6B5C882B" w:rsidR="004E23B2" w:rsidRPr="00A81263" w:rsidRDefault="004E23B2" w:rsidP="002946C7">
      <w:pPr>
        <w:spacing w:after="0" w:line="240" w:lineRule="auto"/>
        <w:ind w:left="720" w:hanging="720"/>
        <w:contextualSpacing/>
        <w:rPr>
          <w:rFonts w:ascii="Times New Roman" w:hAnsi="Times New Roman" w:cs="Times New Roman"/>
          <w:sz w:val="24"/>
          <w:szCs w:val="24"/>
        </w:rPr>
      </w:pPr>
      <w:proofErr w:type="gramStart"/>
      <w:r w:rsidRPr="00A81263">
        <w:rPr>
          <w:rFonts w:ascii="Times New Roman" w:hAnsi="Times New Roman" w:cs="Times New Roman"/>
          <w:sz w:val="24"/>
          <w:szCs w:val="24"/>
        </w:rPr>
        <w:t>Employees’ Retirement System of Georgia.</w:t>
      </w:r>
      <w:proofErr w:type="gramEnd"/>
      <w:r w:rsidRPr="00A81263">
        <w:rPr>
          <w:rFonts w:ascii="Times New Roman" w:hAnsi="Times New Roman" w:cs="Times New Roman"/>
          <w:sz w:val="24"/>
          <w:szCs w:val="24"/>
        </w:rPr>
        <w:t xml:space="preserve"> (Georgia ERS). 2013. </w:t>
      </w:r>
      <w:r w:rsidRPr="00A81263">
        <w:rPr>
          <w:rFonts w:ascii="Times New Roman" w:hAnsi="Times New Roman" w:cs="Times New Roman"/>
          <w:i/>
          <w:sz w:val="24"/>
          <w:szCs w:val="24"/>
        </w:rPr>
        <w:t xml:space="preserve">Report of the Actuary </w:t>
      </w:r>
      <w:r w:rsidR="00A81263" w:rsidRPr="00A81263">
        <w:rPr>
          <w:rFonts w:ascii="Times New Roman" w:hAnsi="Times New Roman" w:cs="Times New Roman"/>
          <w:i/>
          <w:sz w:val="24"/>
          <w:szCs w:val="24"/>
        </w:rPr>
        <w:t>on</w:t>
      </w:r>
      <w:r w:rsidRPr="00A81263">
        <w:rPr>
          <w:rFonts w:ascii="Times New Roman" w:hAnsi="Times New Roman" w:cs="Times New Roman"/>
          <w:i/>
          <w:sz w:val="24"/>
          <w:szCs w:val="24"/>
        </w:rPr>
        <w:t xml:space="preserve"> </w:t>
      </w:r>
      <w:proofErr w:type="gramStart"/>
      <w:r w:rsidRPr="00A81263">
        <w:rPr>
          <w:rFonts w:ascii="Times New Roman" w:hAnsi="Times New Roman" w:cs="Times New Roman"/>
          <w:i/>
          <w:sz w:val="24"/>
          <w:szCs w:val="24"/>
        </w:rPr>
        <w:t>The</w:t>
      </w:r>
      <w:proofErr w:type="gramEnd"/>
      <w:r w:rsidRPr="00A81263">
        <w:rPr>
          <w:rFonts w:ascii="Times New Roman" w:hAnsi="Times New Roman" w:cs="Times New Roman"/>
          <w:i/>
          <w:sz w:val="24"/>
          <w:szCs w:val="24"/>
        </w:rPr>
        <w:t xml:space="preserve"> Valuation</w:t>
      </w:r>
      <w:r w:rsidRPr="00A81263">
        <w:rPr>
          <w:rFonts w:ascii="Times New Roman" w:hAnsi="Times New Roman" w:cs="Times New Roman"/>
          <w:sz w:val="24"/>
          <w:szCs w:val="24"/>
        </w:rPr>
        <w:t xml:space="preserve">. </w:t>
      </w:r>
      <w:proofErr w:type="gramStart"/>
      <w:r w:rsidRPr="00A81263">
        <w:rPr>
          <w:rFonts w:ascii="Times New Roman" w:hAnsi="Times New Roman" w:cs="Times New Roman"/>
          <w:sz w:val="24"/>
          <w:szCs w:val="24"/>
        </w:rPr>
        <w:t xml:space="preserve">Accessed </w:t>
      </w:r>
      <w:r w:rsidR="00234634">
        <w:rPr>
          <w:rFonts w:ascii="Times New Roman" w:hAnsi="Times New Roman" w:cs="Times New Roman"/>
          <w:sz w:val="24"/>
          <w:szCs w:val="24"/>
        </w:rPr>
        <w:t>January 14, 2015</w:t>
      </w:r>
      <w:r w:rsidRPr="00A81263">
        <w:rPr>
          <w:rFonts w:ascii="Times New Roman" w:hAnsi="Times New Roman" w:cs="Times New Roman"/>
          <w:sz w:val="24"/>
          <w:szCs w:val="24"/>
        </w:rPr>
        <w:t xml:space="preserve">, </w:t>
      </w:r>
      <w:hyperlink r:id="rId12" w:history="1">
        <w:r w:rsidRPr="00A81263">
          <w:rPr>
            <w:rStyle w:val="Hyperlink"/>
            <w:rFonts w:ascii="Times New Roman" w:hAnsi="Times New Roman" w:cs="Times New Roman"/>
            <w:sz w:val="24"/>
            <w:szCs w:val="24"/>
          </w:rPr>
          <w:t>http://www.ers.ga.gov/plans/ers/ersactuarial.html</w:t>
        </w:r>
      </w:hyperlink>
      <w:r w:rsidRPr="00A81263">
        <w:rPr>
          <w:rFonts w:ascii="Times New Roman" w:hAnsi="Times New Roman" w:cs="Times New Roman"/>
          <w:sz w:val="24"/>
          <w:szCs w:val="24"/>
        </w:rPr>
        <w:t>.</w:t>
      </w:r>
      <w:proofErr w:type="gramEnd"/>
    </w:p>
    <w:p w14:paraId="46854499" w14:textId="120422D1" w:rsidR="004E23B2" w:rsidRPr="00A81263" w:rsidRDefault="004E23B2" w:rsidP="006B53B6">
      <w:pPr>
        <w:spacing w:after="0" w:line="240" w:lineRule="auto"/>
        <w:ind w:left="720" w:hanging="720"/>
        <w:contextualSpacing/>
        <w:rPr>
          <w:rFonts w:ascii="Times New Roman" w:hAnsi="Times New Roman" w:cs="Times New Roman"/>
          <w:sz w:val="24"/>
          <w:szCs w:val="24"/>
        </w:rPr>
      </w:pPr>
      <w:proofErr w:type="gramStart"/>
      <w:r w:rsidRPr="00A81263">
        <w:rPr>
          <w:rFonts w:ascii="Times New Roman" w:hAnsi="Times New Roman" w:cs="Times New Roman"/>
          <w:sz w:val="24"/>
          <w:szCs w:val="24"/>
        </w:rPr>
        <w:t>Florida Senate.</w:t>
      </w:r>
      <w:proofErr w:type="gramEnd"/>
      <w:r w:rsidR="00A81263" w:rsidRPr="00A81263">
        <w:rPr>
          <w:rFonts w:ascii="Times New Roman" w:hAnsi="Times New Roman" w:cs="Times New Roman"/>
          <w:sz w:val="24"/>
          <w:szCs w:val="24"/>
        </w:rPr>
        <w:t xml:space="preserve"> 2013.</w:t>
      </w:r>
      <w:r w:rsidRPr="00A81263">
        <w:rPr>
          <w:rFonts w:ascii="Times New Roman" w:hAnsi="Times New Roman" w:cs="Times New Roman"/>
          <w:sz w:val="24"/>
          <w:szCs w:val="24"/>
        </w:rPr>
        <w:t xml:space="preserve"> </w:t>
      </w:r>
      <w:r w:rsidRPr="00A81263">
        <w:rPr>
          <w:rFonts w:ascii="Times New Roman" w:hAnsi="Times New Roman" w:cs="Times New Roman"/>
          <w:i/>
          <w:sz w:val="24"/>
          <w:szCs w:val="24"/>
        </w:rPr>
        <w:t>SB 534 Publicly Funded Defined Benefit Retirement Plans</w:t>
      </w:r>
      <w:r w:rsidRPr="00A81263">
        <w:rPr>
          <w:rFonts w:ascii="Times New Roman" w:hAnsi="Times New Roman" w:cs="Times New Roman"/>
          <w:sz w:val="24"/>
          <w:szCs w:val="24"/>
        </w:rPr>
        <w:t xml:space="preserve">. </w:t>
      </w:r>
    </w:p>
    <w:p w14:paraId="120C2B84" w14:textId="120710C5" w:rsidR="001225E0" w:rsidRDefault="001225E0" w:rsidP="00F44243">
      <w:pPr>
        <w:spacing w:after="0" w:line="240" w:lineRule="auto"/>
        <w:ind w:left="720" w:hanging="720"/>
        <w:contextualSpacing/>
        <w:rPr>
          <w:rFonts w:ascii="Times New Roman" w:hAnsi="Times New Roman" w:cs="Times New Roman"/>
          <w:sz w:val="24"/>
          <w:szCs w:val="24"/>
        </w:rPr>
      </w:pPr>
      <w:proofErr w:type="gramStart"/>
      <w:r w:rsidRPr="001225E0">
        <w:rPr>
          <w:rFonts w:ascii="Times New Roman" w:hAnsi="Times New Roman" w:cs="Times New Roman" w:hint="eastAsia"/>
          <w:sz w:val="24"/>
          <w:szCs w:val="24"/>
        </w:rPr>
        <w:t>Fehr</w:t>
      </w:r>
      <w:r>
        <w:rPr>
          <w:rFonts w:ascii="Times New Roman" w:hAnsi="Times New Roman" w:cs="Times New Roman"/>
          <w:sz w:val="24"/>
          <w:szCs w:val="24"/>
        </w:rPr>
        <w:t>,</w:t>
      </w:r>
      <w:r w:rsidRPr="001225E0">
        <w:rPr>
          <w:rFonts w:ascii="Times New Roman" w:hAnsi="Times New Roman" w:cs="Times New Roman" w:hint="eastAsia"/>
          <w:sz w:val="24"/>
          <w:szCs w:val="24"/>
        </w:rPr>
        <w:t xml:space="preserve"> H., </w:t>
      </w:r>
      <w:r>
        <w:rPr>
          <w:rFonts w:ascii="Times New Roman" w:hAnsi="Times New Roman" w:cs="Times New Roman"/>
          <w:sz w:val="24"/>
          <w:szCs w:val="24"/>
        </w:rPr>
        <w:t xml:space="preserve">M. </w:t>
      </w:r>
      <w:proofErr w:type="spellStart"/>
      <w:r w:rsidRPr="001225E0">
        <w:rPr>
          <w:rFonts w:ascii="Times New Roman" w:hAnsi="Times New Roman" w:cs="Times New Roman" w:hint="eastAsia"/>
          <w:sz w:val="24"/>
          <w:szCs w:val="24"/>
        </w:rPr>
        <w:t>Kallweit</w:t>
      </w:r>
      <w:proofErr w:type="spellEnd"/>
      <w:r w:rsidRPr="001225E0">
        <w:rPr>
          <w:rFonts w:ascii="Times New Roman" w:hAnsi="Times New Roman" w:cs="Times New Roman" w:hint="eastAsia"/>
          <w:sz w:val="24"/>
          <w:szCs w:val="24"/>
        </w:rPr>
        <w:t xml:space="preserve">, and </w:t>
      </w:r>
      <w:r>
        <w:rPr>
          <w:rFonts w:ascii="Times New Roman" w:hAnsi="Times New Roman" w:cs="Times New Roman"/>
          <w:sz w:val="24"/>
          <w:szCs w:val="24"/>
        </w:rPr>
        <w:t xml:space="preserve">F. </w:t>
      </w:r>
      <w:proofErr w:type="spellStart"/>
      <w:r w:rsidRPr="001225E0">
        <w:rPr>
          <w:rFonts w:ascii="Times New Roman" w:hAnsi="Times New Roman" w:cs="Times New Roman" w:hint="eastAsia"/>
          <w:sz w:val="24"/>
          <w:szCs w:val="24"/>
        </w:rPr>
        <w:t>Kindermann</w:t>
      </w:r>
      <w:proofErr w:type="spellEnd"/>
      <w:r w:rsidRPr="001225E0">
        <w:rPr>
          <w:rFonts w:ascii="Times New Roman" w:hAnsi="Times New Roman" w:cs="Times New Roman" w:hint="eastAsia"/>
          <w:sz w:val="24"/>
          <w:szCs w:val="24"/>
        </w:rPr>
        <w:t>.</w:t>
      </w:r>
      <w:proofErr w:type="gramEnd"/>
      <w:r w:rsidRPr="001225E0">
        <w:rPr>
          <w:rFonts w:ascii="Times New Roman" w:hAnsi="Times New Roman" w:cs="Times New Roman" w:hint="eastAsia"/>
          <w:sz w:val="24"/>
          <w:szCs w:val="24"/>
        </w:rPr>
        <w:t xml:space="preserve"> 2012. "Pension </w:t>
      </w:r>
      <w:r w:rsidR="00A001C4">
        <w:rPr>
          <w:rFonts w:ascii="Times New Roman" w:hAnsi="Times New Roman" w:cs="Times New Roman"/>
          <w:sz w:val="24"/>
          <w:szCs w:val="24"/>
        </w:rPr>
        <w:t>R</w:t>
      </w:r>
      <w:r w:rsidRPr="001225E0">
        <w:rPr>
          <w:rFonts w:ascii="Times New Roman" w:hAnsi="Times New Roman" w:cs="Times New Roman" w:hint="eastAsia"/>
          <w:sz w:val="24"/>
          <w:szCs w:val="24"/>
        </w:rPr>
        <w:t xml:space="preserve">eform with </w:t>
      </w:r>
      <w:r w:rsidR="00A001C4">
        <w:rPr>
          <w:rFonts w:ascii="Times New Roman" w:hAnsi="Times New Roman" w:cs="Times New Roman"/>
          <w:sz w:val="24"/>
          <w:szCs w:val="24"/>
        </w:rPr>
        <w:t>V</w:t>
      </w:r>
      <w:r w:rsidRPr="001225E0">
        <w:rPr>
          <w:rFonts w:ascii="Times New Roman" w:hAnsi="Times New Roman" w:cs="Times New Roman" w:hint="eastAsia"/>
          <w:sz w:val="24"/>
          <w:szCs w:val="24"/>
        </w:rPr>
        <w:t xml:space="preserve">ariable </w:t>
      </w:r>
      <w:r w:rsidR="00A001C4">
        <w:rPr>
          <w:rFonts w:ascii="Times New Roman" w:hAnsi="Times New Roman" w:cs="Times New Roman"/>
          <w:sz w:val="24"/>
          <w:szCs w:val="24"/>
        </w:rPr>
        <w:t>R</w:t>
      </w:r>
      <w:r w:rsidRPr="001225E0">
        <w:rPr>
          <w:rFonts w:ascii="Times New Roman" w:hAnsi="Times New Roman" w:cs="Times New Roman" w:hint="eastAsia"/>
          <w:sz w:val="24"/>
          <w:szCs w:val="24"/>
        </w:rPr>
        <w:t xml:space="preserve">etirement </w:t>
      </w:r>
      <w:r w:rsidR="00A001C4">
        <w:rPr>
          <w:rFonts w:ascii="Times New Roman" w:hAnsi="Times New Roman" w:cs="Times New Roman"/>
          <w:sz w:val="24"/>
          <w:szCs w:val="24"/>
        </w:rPr>
        <w:t>A</w:t>
      </w:r>
      <w:r w:rsidRPr="001225E0">
        <w:rPr>
          <w:rFonts w:ascii="Times New Roman" w:hAnsi="Times New Roman" w:cs="Times New Roman" w:hint="eastAsia"/>
          <w:sz w:val="24"/>
          <w:szCs w:val="24"/>
        </w:rPr>
        <w:t xml:space="preserve">ge: A </w:t>
      </w:r>
      <w:r w:rsidR="00A001C4">
        <w:rPr>
          <w:rFonts w:ascii="Times New Roman" w:hAnsi="Times New Roman" w:cs="Times New Roman"/>
          <w:sz w:val="24"/>
          <w:szCs w:val="24"/>
        </w:rPr>
        <w:t>S</w:t>
      </w:r>
      <w:r w:rsidRPr="001225E0">
        <w:rPr>
          <w:rFonts w:ascii="Times New Roman" w:hAnsi="Times New Roman" w:cs="Times New Roman" w:hint="eastAsia"/>
          <w:sz w:val="24"/>
          <w:szCs w:val="24"/>
        </w:rPr>
        <w:t xml:space="preserve">imulation </w:t>
      </w:r>
      <w:r w:rsidR="00A001C4">
        <w:rPr>
          <w:rFonts w:ascii="Times New Roman" w:hAnsi="Times New Roman" w:cs="Times New Roman"/>
          <w:sz w:val="24"/>
          <w:szCs w:val="24"/>
        </w:rPr>
        <w:t>A</w:t>
      </w:r>
      <w:r w:rsidRPr="001225E0">
        <w:rPr>
          <w:rFonts w:ascii="Times New Roman" w:hAnsi="Times New Roman" w:cs="Times New Roman" w:hint="eastAsia"/>
          <w:sz w:val="24"/>
          <w:szCs w:val="24"/>
        </w:rPr>
        <w:t>nalysis for Germany</w:t>
      </w:r>
      <w:r w:rsidR="00A001C4">
        <w:rPr>
          <w:rFonts w:ascii="Times New Roman" w:hAnsi="Times New Roman" w:cs="Times New Roman"/>
          <w:sz w:val="24"/>
          <w:szCs w:val="24"/>
        </w:rPr>
        <w:t>.</w:t>
      </w:r>
      <w:r w:rsidRPr="001225E0">
        <w:rPr>
          <w:rFonts w:ascii="Times New Roman" w:hAnsi="Times New Roman" w:cs="Times New Roman" w:hint="eastAsia"/>
          <w:sz w:val="24"/>
          <w:szCs w:val="24"/>
        </w:rPr>
        <w:t>" </w:t>
      </w:r>
      <w:r w:rsidRPr="001225E0">
        <w:rPr>
          <w:rFonts w:ascii="Times New Roman" w:hAnsi="Times New Roman" w:cs="Times New Roman" w:hint="eastAsia"/>
          <w:i/>
          <w:iCs/>
          <w:sz w:val="24"/>
          <w:szCs w:val="24"/>
        </w:rPr>
        <w:t>Journal of Pension Economics and Finance.</w:t>
      </w:r>
      <w:r w:rsidRPr="001225E0">
        <w:rPr>
          <w:rFonts w:ascii="Times New Roman" w:hAnsi="Times New Roman" w:cs="Times New Roman" w:hint="eastAsia"/>
          <w:sz w:val="24"/>
          <w:szCs w:val="24"/>
        </w:rPr>
        <w:t>11 (3): 389-417.</w:t>
      </w:r>
    </w:p>
    <w:p w14:paraId="01A57714" w14:textId="0FAC14D7" w:rsidR="004E23B2" w:rsidRPr="00A81263" w:rsidRDefault="004E23B2" w:rsidP="00F44243">
      <w:pPr>
        <w:spacing w:after="0" w:line="240" w:lineRule="auto"/>
        <w:ind w:left="720" w:hanging="720"/>
        <w:contextualSpacing/>
        <w:rPr>
          <w:rFonts w:ascii="Times New Roman" w:hAnsi="Times New Roman" w:cs="Times New Roman"/>
          <w:sz w:val="24"/>
          <w:szCs w:val="24"/>
        </w:rPr>
      </w:pPr>
      <w:proofErr w:type="spellStart"/>
      <w:proofErr w:type="gramStart"/>
      <w:r w:rsidRPr="00A81263">
        <w:rPr>
          <w:rFonts w:ascii="Times New Roman" w:hAnsi="Times New Roman" w:cs="Times New Roman"/>
          <w:sz w:val="24"/>
          <w:szCs w:val="24"/>
        </w:rPr>
        <w:t>Giertz</w:t>
      </w:r>
      <w:proofErr w:type="spellEnd"/>
      <w:r w:rsidRPr="00A81263">
        <w:rPr>
          <w:rFonts w:ascii="Times New Roman" w:hAnsi="Times New Roman" w:cs="Times New Roman"/>
          <w:sz w:val="24"/>
          <w:szCs w:val="24"/>
        </w:rPr>
        <w:t xml:space="preserve">, J. F., and L. E. </w:t>
      </w:r>
      <w:proofErr w:type="spellStart"/>
      <w:r w:rsidRPr="00A81263">
        <w:rPr>
          <w:rFonts w:ascii="Times New Roman" w:hAnsi="Times New Roman" w:cs="Times New Roman"/>
          <w:sz w:val="24"/>
          <w:szCs w:val="24"/>
        </w:rPr>
        <w:t>Papke</w:t>
      </w:r>
      <w:proofErr w:type="spellEnd"/>
      <w:r w:rsidRPr="00A81263">
        <w:rPr>
          <w:rFonts w:ascii="Times New Roman" w:hAnsi="Times New Roman" w:cs="Times New Roman"/>
          <w:sz w:val="24"/>
          <w:szCs w:val="24"/>
        </w:rPr>
        <w:t>.</w:t>
      </w:r>
      <w:proofErr w:type="gramEnd"/>
      <w:r w:rsidRPr="00A81263">
        <w:rPr>
          <w:rFonts w:ascii="Times New Roman" w:hAnsi="Times New Roman" w:cs="Times New Roman"/>
          <w:sz w:val="24"/>
          <w:szCs w:val="24"/>
        </w:rPr>
        <w:t xml:space="preserve"> 2007. "Public Pension Plans: Myths and Realities for State Budgets</w:t>
      </w:r>
      <w:r w:rsidR="00A001C4">
        <w:rPr>
          <w:rFonts w:ascii="Times New Roman" w:hAnsi="Times New Roman" w:cs="Times New Roman"/>
          <w:sz w:val="24"/>
          <w:szCs w:val="24"/>
        </w:rPr>
        <w:t>.</w:t>
      </w:r>
      <w:r w:rsidRPr="00A81263">
        <w:rPr>
          <w:rFonts w:ascii="Times New Roman" w:hAnsi="Times New Roman" w:cs="Times New Roman"/>
          <w:sz w:val="24"/>
          <w:szCs w:val="24"/>
        </w:rPr>
        <w:t>" </w:t>
      </w:r>
      <w:proofErr w:type="gramStart"/>
      <w:r w:rsidRPr="00A81263">
        <w:rPr>
          <w:rFonts w:ascii="Times New Roman" w:hAnsi="Times New Roman" w:cs="Times New Roman"/>
          <w:i/>
          <w:iCs/>
          <w:sz w:val="24"/>
          <w:szCs w:val="24"/>
        </w:rPr>
        <w:t>National Tax Journal.</w:t>
      </w:r>
      <w:proofErr w:type="gramEnd"/>
      <w:r w:rsidRPr="00A81263">
        <w:rPr>
          <w:rFonts w:ascii="Times New Roman" w:hAnsi="Times New Roman" w:cs="Times New Roman"/>
          <w:i/>
          <w:iCs/>
          <w:sz w:val="24"/>
          <w:szCs w:val="24"/>
        </w:rPr>
        <w:t> </w:t>
      </w:r>
      <w:r w:rsidRPr="00A81263">
        <w:rPr>
          <w:rFonts w:ascii="Times New Roman" w:hAnsi="Times New Roman" w:cs="Times New Roman"/>
          <w:sz w:val="24"/>
          <w:szCs w:val="24"/>
        </w:rPr>
        <w:t>60 (2): 305-324.</w:t>
      </w:r>
    </w:p>
    <w:p w14:paraId="43D5F768" w14:textId="57E0CFEF" w:rsidR="004E23B2" w:rsidRPr="00A81263" w:rsidRDefault="004E23B2" w:rsidP="002629C2">
      <w:pPr>
        <w:spacing w:after="0" w:line="240" w:lineRule="auto"/>
        <w:ind w:left="720" w:hanging="720"/>
        <w:contextualSpacing/>
        <w:rPr>
          <w:rFonts w:ascii="Times New Roman" w:hAnsi="Times New Roman" w:cs="Times New Roman"/>
          <w:sz w:val="24"/>
          <w:szCs w:val="24"/>
        </w:rPr>
      </w:pPr>
      <w:r w:rsidRPr="00A81263">
        <w:rPr>
          <w:rFonts w:ascii="Times New Roman" w:hAnsi="Times New Roman" w:cs="Times New Roman"/>
          <w:sz w:val="24"/>
          <w:szCs w:val="24"/>
        </w:rPr>
        <w:lastRenderedPageBreak/>
        <w:t xml:space="preserve">Governmental Accounting Standards Board (GASB). 1994a. </w:t>
      </w:r>
      <w:r w:rsidRPr="00A81263">
        <w:rPr>
          <w:rFonts w:ascii="Times New Roman" w:hAnsi="Times New Roman" w:cs="Times New Roman"/>
          <w:i/>
          <w:sz w:val="24"/>
          <w:szCs w:val="24"/>
        </w:rPr>
        <w:t>Statement No. 25 of the Governmental Accounting Standards Board Financial Reporting for Defined Benefit Pension Plans and Note Disclosures for Defined Contribution Plans</w:t>
      </w:r>
      <w:r w:rsidRPr="00A81263">
        <w:rPr>
          <w:rFonts w:ascii="Times New Roman" w:hAnsi="Times New Roman" w:cs="Times New Roman"/>
          <w:sz w:val="24"/>
          <w:szCs w:val="24"/>
        </w:rPr>
        <w:t xml:space="preserve">. </w:t>
      </w:r>
      <w:proofErr w:type="gramStart"/>
      <w:r w:rsidRPr="00A81263">
        <w:rPr>
          <w:rFonts w:ascii="Times New Roman" w:hAnsi="Times New Roman" w:cs="Times New Roman"/>
          <w:sz w:val="24"/>
          <w:szCs w:val="24"/>
        </w:rPr>
        <w:t xml:space="preserve">Accessed </w:t>
      </w:r>
      <w:r w:rsidR="00234634">
        <w:rPr>
          <w:rFonts w:ascii="Times New Roman" w:hAnsi="Times New Roman" w:cs="Times New Roman"/>
          <w:sz w:val="24"/>
          <w:szCs w:val="24"/>
        </w:rPr>
        <w:t>January 14, 2015</w:t>
      </w:r>
      <w:r w:rsidRPr="00A81263">
        <w:rPr>
          <w:rFonts w:ascii="Times New Roman" w:hAnsi="Times New Roman" w:cs="Times New Roman"/>
          <w:sz w:val="24"/>
          <w:szCs w:val="24"/>
        </w:rPr>
        <w:t xml:space="preserve">, </w:t>
      </w:r>
      <w:hyperlink r:id="rId13" w:history="1">
        <w:r w:rsidRPr="00A81263">
          <w:rPr>
            <w:rStyle w:val="Hyperlink"/>
            <w:rFonts w:ascii="Times New Roman" w:hAnsi="Times New Roman" w:cs="Times New Roman"/>
            <w:sz w:val="24"/>
            <w:szCs w:val="24"/>
          </w:rPr>
          <w:t>www.gasb.org</w:t>
        </w:r>
      </w:hyperlink>
      <w:r w:rsidRPr="00A81263">
        <w:rPr>
          <w:rFonts w:ascii="Times New Roman" w:hAnsi="Times New Roman" w:cs="Times New Roman"/>
          <w:sz w:val="24"/>
          <w:szCs w:val="24"/>
        </w:rPr>
        <w:t>.</w:t>
      </w:r>
      <w:proofErr w:type="gramEnd"/>
    </w:p>
    <w:p w14:paraId="02813304" w14:textId="6695D678" w:rsidR="004E23B2" w:rsidRPr="00A81263" w:rsidRDefault="004E23B2" w:rsidP="002629C2">
      <w:pPr>
        <w:spacing w:after="0" w:line="240" w:lineRule="auto"/>
        <w:ind w:left="720" w:hanging="720"/>
        <w:contextualSpacing/>
        <w:rPr>
          <w:rFonts w:ascii="Times New Roman" w:hAnsi="Times New Roman" w:cs="Times New Roman"/>
          <w:sz w:val="24"/>
          <w:szCs w:val="24"/>
        </w:rPr>
      </w:pPr>
      <w:r w:rsidRPr="00A81263">
        <w:rPr>
          <w:rFonts w:ascii="Times New Roman" w:hAnsi="Times New Roman" w:cs="Times New Roman"/>
          <w:sz w:val="24"/>
          <w:szCs w:val="24"/>
        </w:rPr>
        <w:t xml:space="preserve">Governmental Accounting Standards Board (GASB). </w:t>
      </w:r>
      <w:proofErr w:type="gramStart"/>
      <w:r w:rsidRPr="00A81263">
        <w:rPr>
          <w:rFonts w:ascii="Times New Roman" w:hAnsi="Times New Roman" w:cs="Times New Roman"/>
          <w:sz w:val="24"/>
          <w:szCs w:val="24"/>
        </w:rPr>
        <w:t xml:space="preserve">1994b. </w:t>
      </w:r>
      <w:r w:rsidRPr="00A81263">
        <w:rPr>
          <w:rFonts w:ascii="Times New Roman" w:hAnsi="Times New Roman" w:cs="Times New Roman"/>
          <w:i/>
          <w:sz w:val="24"/>
          <w:szCs w:val="24"/>
        </w:rPr>
        <w:t>Statement No. 27 of the Governmental Accounting Standards Board Accounting for Pensions by State and Local Governmental Employers</w:t>
      </w:r>
      <w:r w:rsidRPr="00A81263">
        <w:rPr>
          <w:rFonts w:ascii="Times New Roman" w:hAnsi="Times New Roman" w:cs="Times New Roman"/>
          <w:sz w:val="24"/>
          <w:szCs w:val="24"/>
        </w:rPr>
        <w:t>.</w:t>
      </w:r>
      <w:proofErr w:type="gramEnd"/>
      <w:r w:rsidRPr="00A81263">
        <w:rPr>
          <w:rFonts w:ascii="Times New Roman" w:hAnsi="Times New Roman" w:cs="Times New Roman"/>
          <w:sz w:val="24"/>
          <w:szCs w:val="24"/>
        </w:rPr>
        <w:t xml:space="preserve"> </w:t>
      </w:r>
      <w:proofErr w:type="gramStart"/>
      <w:r w:rsidRPr="00A81263">
        <w:rPr>
          <w:rFonts w:ascii="Times New Roman" w:hAnsi="Times New Roman" w:cs="Times New Roman"/>
          <w:sz w:val="24"/>
          <w:szCs w:val="24"/>
        </w:rPr>
        <w:t xml:space="preserve">Accessed </w:t>
      </w:r>
      <w:r w:rsidR="00234634">
        <w:rPr>
          <w:rFonts w:ascii="Times New Roman" w:hAnsi="Times New Roman" w:cs="Times New Roman"/>
          <w:sz w:val="24"/>
          <w:szCs w:val="24"/>
        </w:rPr>
        <w:t>January 14, 2015</w:t>
      </w:r>
      <w:r w:rsidRPr="00A81263">
        <w:rPr>
          <w:rFonts w:ascii="Times New Roman" w:hAnsi="Times New Roman" w:cs="Times New Roman"/>
          <w:sz w:val="24"/>
          <w:szCs w:val="24"/>
        </w:rPr>
        <w:t xml:space="preserve">, </w:t>
      </w:r>
      <w:hyperlink r:id="rId14" w:history="1">
        <w:r w:rsidRPr="00A81263">
          <w:rPr>
            <w:rStyle w:val="Hyperlink"/>
            <w:rFonts w:ascii="Times New Roman" w:hAnsi="Times New Roman" w:cs="Times New Roman"/>
            <w:sz w:val="24"/>
            <w:szCs w:val="24"/>
          </w:rPr>
          <w:t>www.gasb.org</w:t>
        </w:r>
      </w:hyperlink>
      <w:r w:rsidRPr="00A81263">
        <w:rPr>
          <w:rFonts w:ascii="Times New Roman" w:hAnsi="Times New Roman" w:cs="Times New Roman"/>
          <w:sz w:val="24"/>
          <w:szCs w:val="24"/>
        </w:rPr>
        <w:t>.</w:t>
      </w:r>
      <w:proofErr w:type="gramEnd"/>
    </w:p>
    <w:p w14:paraId="318EE46A" w14:textId="1D51A0D9" w:rsidR="004E23B2" w:rsidRPr="00A81263" w:rsidRDefault="004E23B2" w:rsidP="006B20F2">
      <w:pPr>
        <w:spacing w:after="0" w:line="240" w:lineRule="auto"/>
        <w:ind w:left="720" w:hanging="720"/>
        <w:contextualSpacing/>
        <w:rPr>
          <w:rFonts w:ascii="Times New Roman" w:hAnsi="Times New Roman" w:cs="Times New Roman"/>
          <w:sz w:val="24"/>
          <w:szCs w:val="24"/>
        </w:rPr>
      </w:pPr>
      <w:r w:rsidRPr="00A81263">
        <w:rPr>
          <w:rFonts w:ascii="Times New Roman" w:hAnsi="Times New Roman" w:cs="Times New Roman"/>
          <w:sz w:val="24"/>
          <w:szCs w:val="24"/>
        </w:rPr>
        <w:t xml:space="preserve">Governmental Accounting Standards Board (GASB). 2012. </w:t>
      </w:r>
      <w:r w:rsidRPr="00A81263">
        <w:rPr>
          <w:rFonts w:ascii="Times New Roman" w:hAnsi="Times New Roman" w:cs="Times New Roman"/>
          <w:i/>
          <w:sz w:val="24"/>
          <w:szCs w:val="24"/>
        </w:rPr>
        <w:t>Statement No. 68 of the Governmental Accounting Standards Board: Accounting and Financial Reporting for Pensions</w:t>
      </w:r>
      <w:r w:rsidRPr="00A81263">
        <w:rPr>
          <w:rFonts w:ascii="Times New Roman" w:hAnsi="Times New Roman" w:cs="Times New Roman"/>
          <w:sz w:val="24"/>
          <w:szCs w:val="24"/>
        </w:rPr>
        <w:t xml:space="preserve">. </w:t>
      </w:r>
      <w:proofErr w:type="gramStart"/>
      <w:r w:rsidRPr="00A81263">
        <w:rPr>
          <w:rFonts w:ascii="Times New Roman" w:hAnsi="Times New Roman" w:cs="Times New Roman"/>
          <w:sz w:val="24"/>
          <w:szCs w:val="24"/>
        </w:rPr>
        <w:t xml:space="preserve">Accessed </w:t>
      </w:r>
      <w:r w:rsidR="00234634">
        <w:rPr>
          <w:rFonts w:ascii="Times New Roman" w:hAnsi="Times New Roman" w:cs="Times New Roman"/>
          <w:sz w:val="24"/>
          <w:szCs w:val="24"/>
        </w:rPr>
        <w:t>January 14, 2015</w:t>
      </w:r>
      <w:r w:rsidRPr="00A81263">
        <w:rPr>
          <w:rFonts w:ascii="Times New Roman" w:hAnsi="Times New Roman" w:cs="Times New Roman"/>
          <w:sz w:val="24"/>
          <w:szCs w:val="24"/>
        </w:rPr>
        <w:t xml:space="preserve">, </w:t>
      </w:r>
      <w:hyperlink r:id="rId15" w:history="1">
        <w:r w:rsidRPr="00A81263">
          <w:rPr>
            <w:rStyle w:val="Hyperlink"/>
            <w:rFonts w:ascii="Times New Roman" w:hAnsi="Times New Roman" w:cs="Times New Roman"/>
            <w:sz w:val="24"/>
            <w:szCs w:val="24"/>
          </w:rPr>
          <w:t>www.gasb.org</w:t>
        </w:r>
      </w:hyperlink>
      <w:r w:rsidRPr="00A81263">
        <w:rPr>
          <w:rFonts w:ascii="Times New Roman" w:hAnsi="Times New Roman" w:cs="Times New Roman"/>
          <w:sz w:val="24"/>
          <w:szCs w:val="24"/>
        </w:rPr>
        <w:t>.</w:t>
      </w:r>
      <w:proofErr w:type="gramEnd"/>
    </w:p>
    <w:p w14:paraId="3DB77C71" w14:textId="5733D855" w:rsidR="009B452C" w:rsidRDefault="009B452C" w:rsidP="006B53B6">
      <w:pPr>
        <w:spacing w:after="0" w:line="240" w:lineRule="auto"/>
        <w:ind w:left="720" w:hanging="720"/>
        <w:contextualSpacing/>
        <w:rPr>
          <w:rFonts w:ascii="Times New Roman" w:hAnsi="Times New Roman" w:cs="Times New Roman"/>
          <w:sz w:val="24"/>
          <w:szCs w:val="24"/>
        </w:rPr>
      </w:pPr>
      <w:proofErr w:type="gramStart"/>
      <w:r w:rsidRPr="009B452C">
        <w:rPr>
          <w:rFonts w:ascii="Times New Roman" w:hAnsi="Times New Roman" w:cs="Times New Roman"/>
          <w:sz w:val="24"/>
          <w:szCs w:val="24"/>
        </w:rPr>
        <w:t>Government Finance Officers Association (GFOA).</w:t>
      </w:r>
      <w:proofErr w:type="gramEnd"/>
      <w:r w:rsidRPr="009B452C">
        <w:rPr>
          <w:rFonts w:ascii="Times New Roman" w:hAnsi="Times New Roman" w:cs="Times New Roman"/>
          <w:sz w:val="24"/>
          <w:szCs w:val="24"/>
        </w:rPr>
        <w:t xml:space="preserve"> 2009</w:t>
      </w:r>
      <w:r w:rsidRPr="009B452C">
        <w:rPr>
          <w:rFonts w:ascii="Times New Roman" w:hAnsi="Times New Roman" w:cs="Times New Roman"/>
          <w:i/>
          <w:sz w:val="24"/>
          <w:szCs w:val="24"/>
        </w:rPr>
        <w:t>. Sustainable Funding Practices of Defined Benefit Pension Plans</w:t>
      </w:r>
      <w:r w:rsidRPr="009B452C">
        <w:rPr>
          <w:rFonts w:ascii="Times New Roman" w:hAnsi="Times New Roman" w:cs="Times New Roman"/>
          <w:sz w:val="24"/>
          <w:szCs w:val="24"/>
        </w:rPr>
        <w:t xml:space="preserve">. </w:t>
      </w:r>
      <w:proofErr w:type="gramStart"/>
      <w:r w:rsidRPr="009B452C">
        <w:rPr>
          <w:rFonts w:ascii="Times New Roman" w:hAnsi="Times New Roman" w:cs="Times New Roman"/>
          <w:sz w:val="24"/>
          <w:szCs w:val="24"/>
        </w:rPr>
        <w:t>Accessed January 13, 2015, http://www.gfoa.org/sustainable-funding-practices-defined-benefit-pension-plans.</w:t>
      </w:r>
      <w:proofErr w:type="gramEnd"/>
    </w:p>
    <w:p w14:paraId="51DD86AF" w14:textId="77777777" w:rsidR="004E23B2" w:rsidRPr="00A81263" w:rsidRDefault="004E23B2" w:rsidP="006B53B6">
      <w:pPr>
        <w:spacing w:after="0" w:line="240" w:lineRule="auto"/>
        <w:ind w:left="720" w:hanging="720"/>
        <w:contextualSpacing/>
        <w:rPr>
          <w:rFonts w:ascii="Times New Roman" w:hAnsi="Times New Roman" w:cs="Times New Roman"/>
          <w:sz w:val="24"/>
          <w:szCs w:val="24"/>
        </w:rPr>
      </w:pPr>
      <w:proofErr w:type="gramStart"/>
      <w:r w:rsidRPr="00A81263">
        <w:rPr>
          <w:rFonts w:ascii="Times New Roman" w:hAnsi="Times New Roman" w:cs="Times New Roman"/>
          <w:sz w:val="24"/>
          <w:szCs w:val="24"/>
        </w:rPr>
        <w:t>H.R. 1628, 113</w:t>
      </w:r>
      <w:r w:rsidRPr="00A81263">
        <w:rPr>
          <w:rFonts w:ascii="Times New Roman" w:hAnsi="Times New Roman" w:cs="Times New Roman"/>
          <w:sz w:val="24"/>
          <w:szCs w:val="24"/>
          <w:vertAlign w:val="superscript"/>
        </w:rPr>
        <w:t>th</w:t>
      </w:r>
      <w:r w:rsidRPr="00A81263">
        <w:rPr>
          <w:rFonts w:ascii="Times New Roman" w:hAnsi="Times New Roman" w:cs="Times New Roman"/>
          <w:sz w:val="24"/>
          <w:szCs w:val="24"/>
        </w:rPr>
        <w:t xml:space="preserve"> Congress.</w:t>
      </w:r>
      <w:proofErr w:type="gramEnd"/>
      <w:r w:rsidRPr="00A81263">
        <w:rPr>
          <w:rFonts w:ascii="Times New Roman" w:hAnsi="Times New Roman" w:cs="Times New Roman"/>
          <w:sz w:val="24"/>
          <w:szCs w:val="24"/>
        </w:rPr>
        <w:t xml:space="preserve"> (2013).</w:t>
      </w:r>
    </w:p>
    <w:p w14:paraId="3A84BFB1" w14:textId="77777777" w:rsidR="004E23B2" w:rsidRPr="00A81263" w:rsidRDefault="004E23B2" w:rsidP="006B53B6">
      <w:pPr>
        <w:spacing w:after="0" w:line="240" w:lineRule="auto"/>
        <w:ind w:left="720" w:hanging="720"/>
        <w:contextualSpacing/>
        <w:rPr>
          <w:rFonts w:ascii="Times New Roman" w:hAnsi="Times New Roman" w:cs="Times New Roman"/>
          <w:sz w:val="24"/>
          <w:szCs w:val="24"/>
        </w:rPr>
      </w:pPr>
      <w:proofErr w:type="gramStart"/>
      <w:r w:rsidRPr="00A81263">
        <w:rPr>
          <w:rFonts w:ascii="Times New Roman" w:hAnsi="Times New Roman" w:cs="Times New Roman"/>
          <w:sz w:val="24"/>
          <w:szCs w:val="24"/>
        </w:rPr>
        <w:t>H.R. 567, 112</w:t>
      </w:r>
      <w:r w:rsidRPr="00A81263">
        <w:rPr>
          <w:rFonts w:ascii="Times New Roman" w:hAnsi="Times New Roman" w:cs="Times New Roman"/>
          <w:sz w:val="24"/>
          <w:szCs w:val="24"/>
          <w:vertAlign w:val="superscript"/>
        </w:rPr>
        <w:t>th</w:t>
      </w:r>
      <w:r w:rsidRPr="00A81263">
        <w:rPr>
          <w:rFonts w:ascii="Times New Roman" w:hAnsi="Times New Roman" w:cs="Times New Roman"/>
          <w:sz w:val="24"/>
          <w:szCs w:val="24"/>
        </w:rPr>
        <w:t xml:space="preserve"> Congress.</w:t>
      </w:r>
      <w:proofErr w:type="gramEnd"/>
      <w:r w:rsidRPr="00A81263">
        <w:rPr>
          <w:rFonts w:ascii="Times New Roman" w:hAnsi="Times New Roman" w:cs="Times New Roman"/>
          <w:sz w:val="24"/>
          <w:szCs w:val="24"/>
        </w:rPr>
        <w:t xml:space="preserve"> (2011). </w:t>
      </w:r>
    </w:p>
    <w:p w14:paraId="11BAB428" w14:textId="206D4085" w:rsidR="004E23B2" w:rsidRPr="00A81263" w:rsidRDefault="004E23B2" w:rsidP="002629C2">
      <w:pPr>
        <w:tabs>
          <w:tab w:val="left" w:pos="450"/>
        </w:tabs>
        <w:spacing w:after="0" w:line="240" w:lineRule="auto"/>
        <w:ind w:left="720" w:hanging="720"/>
        <w:contextualSpacing/>
        <w:rPr>
          <w:rFonts w:ascii="Times New Roman" w:hAnsi="Times New Roman" w:cs="Times New Roman"/>
          <w:sz w:val="24"/>
          <w:szCs w:val="24"/>
        </w:rPr>
      </w:pPr>
      <w:r w:rsidRPr="00A81263">
        <w:rPr>
          <w:rFonts w:ascii="Times New Roman" w:hAnsi="Times New Roman" w:cs="Times New Roman"/>
          <w:sz w:val="24"/>
          <w:szCs w:val="24"/>
        </w:rPr>
        <w:t>Johnson, C</w:t>
      </w:r>
      <w:r w:rsidR="00A001C4">
        <w:rPr>
          <w:rFonts w:ascii="Times New Roman" w:hAnsi="Times New Roman" w:cs="Times New Roman"/>
          <w:sz w:val="24"/>
          <w:szCs w:val="24"/>
        </w:rPr>
        <w:t>.</w:t>
      </w:r>
      <w:r w:rsidRPr="00A81263">
        <w:rPr>
          <w:rFonts w:ascii="Times New Roman" w:hAnsi="Times New Roman" w:cs="Times New Roman"/>
          <w:sz w:val="24"/>
          <w:szCs w:val="24"/>
        </w:rPr>
        <w:t xml:space="preserve"> S. 2013. </w:t>
      </w:r>
      <w:proofErr w:type="gramStart"/>
      <w:r w:rsidR="00A001C4" w:rsidRPr="00E31C77">
        <w:rPr>
          <w:rFonts w:ascii="Times New Roman" w:hAnsi="Times New Roman" w:cs="Times New Roman"/>
          <w:sz w:val="24"/>
          <w:szCs w:val="24"/>
        </w:rPr>
        <w:t>"</w:t>
      </w:r>
      <w:r w:rsidRPr="00A81263">
        <w:rPr>
          <w:rFonts w:ascii="Times New Roman" w:hAnsi="Times New Roman" w:cs="Times New Roman"/>
          <w:sz w:val="24"/>
          <w:szCs w:val="24"/>
        </w:rPr>
        <w:t>Board Member Calls for Lower Rate of Return on Pension Investments</w:t>
      </w:r>
      <w:r w:rsidR="00A001C4">
        <w:rPr>
          <w:rFonts w:ascii="Times New Roman" w:hAnsi="Times New Roman" w:cs="Times New Roman"/>
          <w:sz w:val="24"/>
          <w:szCs w:val="24"/>
        </w:rPr>
        <w:t>.</w:t>
      </w:r>
      <w:r w:rsidR="00A001C4" w:rsidRPr="00E31C77">
        <w:rPr>
          <w:rFonts w:ascii="Times New Roman" w:hAnsi="Times New Roman" w:cs="Times New Roman"/>
          <w:sz w:val="24"/>
          <w:szCs w:val="24"/>
        </w:rPr>
        <w:t>"</w:t>
      </w:r>
      <w:proofErr w:type="gramEnd"/>
      <w:r w:rsidRPr="00A81263">
        <w:rPr>
          <w:rFonts w:ascii="Times New Roman" w:hAnsi="Times New Roman" w:cs="Times New Roman"/>
          <w:sz w:val="24"/>
          <w:szCs w:val="24"/>
        </w:rPr>
        <w:t xml:space="preserve"> </w:t>
      </w:r>
      <w:proofErr w:type="gramStart"/>
      <w:r w:rsidRPr="00A81263">
        <w:rPr>
          <w:rFonts w:ascii="Times New Roman" w:hAnsi="Times New Roman" w:cs="Times New Roman"/>
          <w:i/>
          <w:sz w:val="24"/>
          <w:szCs w:val="24"/>
        </w:rPr>
        <w:t>Billings Gazette</w:t>
      </w:r>
      <w:r w:rsidRPr="00A81263">
        <w:rPr>
          <w:rFonts w:ascii="Times New Roman" w:hAnsi="Times New Roman" w:cs="Times New Roman"/>
          <w:sz w:val="24"/>
          <w:szCs w:val="24"/>
        </w:rPr>
        <w:t>.</w:t>
      </w:r>
      <w:proofErr w:type="gramEnd"/>
      <w:r w:rsidRPr="00A81263">
        <w:rPr>
          <w:rFonts w:ascii="Times New Roman" w:hAnsi="Times New Roman" w:cs="Times New Roman"/>
          <w:sz w:val="24"/>
          <w:szCs w:val="24"/>
        </w:rPr>
        <w:t xml:space="preserve"> October 21.</w:t>
      </w:r>
    </w:p>
    <w:p w14:paraId="429E279E" w14:textId="4C0506D6" w:rsidR="004E23B2" w:rsidRPr="00A81263" w:rsidRDefault="004E23B2" w:rsidP="002629C2">
      <w:pPr>
        <w:tabs>
          <w:tab w:val="left" w:pos="450"/>
        </w:tabs>
        <w:spacing w:after="0" w:line="240" w:lineRule="auto"/>
        <w:ind w:left="720" w:hanging="720"/>
        <w:contextualSpacing/>
        <w:rPr>
          <w:rFonts w:ascii="Times New Roman" w:hAnsi="Times New Roman" w:cs="Times New Roman"/>
          <w:sz w:val="24"/>
          <w:szCs w:val="24"/>
        </w:rPr>
      </w:pPr>
      <w:r w:rsidRPr="00A81263">
        <w:rPr>
          <w:rFonts w:ascii="Times New Roman" w:hAnsi="Times New Roman" w:cs="Times New Roman"/>
          <w:sz w:val="24"/>
          <w:szCs w:val="24"/>
        </w:rPr>
        <w:t xml:space="preserve">Johnson, R. W. 1997. </w:t>
      </w:r>
      <w:proofErr w:type="gramStart"/>
      <w:r w:rsidR="00A001C4" w:rsidRPr="00E31C77">
        <w:rPr>
          <w:rFonts w:ascii="Times New Roman" w:hAnsi="Times New Roman" w:cs="Times New Roman"/>
          <w:sz w:val="24"/>
          <w:szCs w:val="24"/>
        </w:rPr>
        <w:t>"</w:t>
      </w:r>
      <w:r w:rsidRPr="00A81263">
        <w:rPr>
          <w:rFonts w:ascii="Times New Roman" w:hAnsi="Times New Roman" w:cs="Times New Roman"/>
          <w:sz w:val="24"/>
          <w:szCs w:val="24"/>
        </w:rPr>
        <w:t>Pension Underfunding and Liberal Retirement Benefits among State and Local Government Workers.</w:t>
      </w:r>
      <w:r w:rsidR="00A001C4" w:rsidRPr="00E31C77">
        <w:rPr>
          <w:rFonts w:ascii="Times New Roman" w:hAnsi="Times New Roman" w:cs="Times New Roman"/>
          <w:sz w:val="24"/>
          <w:szCs w:val="24"/>
        </w:rPr>
        <w:t>"</w:t>
      </w:r>
      <w:proofErr w:type="gramEnd"/>
      <w:r w:rsidRPr="00A81263">
        <w:rPr>
          <w:rFonts w:ascii="Times New Roman" w:hAnsi="Times New Roman" w:cs="Times New Roman"/>
          <w:sz w:val="24"/>
          <w:szCs w:val="24"/>
        </w:rPr>
        <w:t xml:space="preserve"> </w:t>
      </w:r>
      <w:proofErr w:type="gramStart"/>
      <w:r w:rsidRPr="00A81263">
        <w:rPr>
          <w:rFonts w:ascii="Times New Roman" w:hAnsi="Times New Roman" w:cs="Times New Roman"/>
          <w:i/>
          <w:iCs/>
          <w:sz w:val="24"/>
          <w:szCs w:val="24"/>
        </w:rPr>
        <w:t>National Tax Journal.</w:t>
      </w:r>
      <w:proofErr w:type="gramEnd"/>
      <w:r w:rsidRPr="00A81263">
        <w:rPr>
          <w:rFonts w:ascii="Times New Roman" w:hAnsi="Times New Roman" w:cs="Times New Roman"/>
          <w:i/>
          <w:iCs/>
          <w:sz w:val="24"/>
          <w:szCs w:val="24"/>
        </w:rPr>
        <w:t xml:space="preserve"> </w:t>
      </w:r>
      <w:r w:rsidRPr="00A81263">
        <w:rPr>
          <w:rFonts w:ascii="Times New Roman" w:hAnsi="Times New Roman" w:cs="Times New Roman"/>
          <w:iCs/>
          <w:sz w:val="24"/>
          <w:szCs w:val="24"/>
        </w:rPr>
        <w:t>50(</w:t>
      </w:r>
      <w:r w:rsidRPr="00A81263">
        <w:rPr>
          <w:rFonts w:ascii="Times New Roman" w:hAnsi="Times New Roman" w:cs="Times New Roman"/>
          <w:sz w:val="24"/>
          <w:szCs w:val="24"/>
        </w:rPr>
        <w:t>1): 113</w:t>
      </w:r>
      <w:r w:rsidR="00A81263" w:rsidRPr="00A81263">
        <w:rPr>
          <w:rFonts w:ascii="Times New Roman" w:hAnsi="Times New Roman" w:cs="Times New Roman"/>
          <w:sz w:val="24"/>
          <w:szCs w:val="24"/>
        </w:rPr>
        <w:t>-142</w:t>
      </w:r>
      <w:r w:rsidRPr="00A81263">
        <w:rPr>
          <w:rFonts w:ascii="Times New Roman" w:hAnsi="Times New Roman" w:cs="Times New Roman"/>
          <w:sz w:val="24"/>
          <w:szCs w:val="24"/>
        </w:rPr>
        <w:t>.</w:t>
      </w:r>
    </w:p>
    <w:p w14:paraId="0776FA37" w14:textId="04871CDF" w:rsidR="0097380B" w:rsidRDefault="0097380B" w:rsidP="006B20F2">
      <w:pPr>
        <w:spacing w:after="0" w:line="240" w:lineRule="auto"/>
        <w:ind w:left="720" w:hanging="720"/>
        <w:contextualSpacing/>
        <w:rPr>
          <w:rFonts w:ascii="Times New Roman" w:hAnsi="Times New Roman" w:cs="Times New Roman"/>
          <w:sz w:val="24"/>
          <w:szCs w:val="24"/>
        </w:rPr>
      </w:pPr>
      <w:proofErr w:type="gramStart"/>
      <w:r w:rsidRPr="0097380B">
        <w:rPr>
          <w:rFonts w:ascii="Times New Roman" w:hAnsi="Times New Roman" w:cs="Times New Roman"/>
          <w:sz w:val="24"/>
          <w:szCs w:val="24"/>
        </w:rPr>
        <w:t xml:space="preserve">Kingsland, </w:t>
      </w:r>
      <w:r>
        <w:rPr>
          <w:rFonts w:ascii="Times New Roman" w:hAnsi="Times New Roman" w:cs="Times New Roman"/>
          <w:sz w:val="24"/>
          <w:szCs w:val="24"/>
        </w:rPr>
        <w:t>L</w:t>
      </w:r>
      <w:r w:rsidR="00A001C4">
        <w:rPr>
          <w:rFonts w:ascii="Times New Roman" w:hAnsi="Times New Roman" w:cs="Times New Roman"/>
          <w:sz w:val="24"/>
          <w:szCs w:val="24"/>
        </w:rPr>
        <w:t>.</w:t>
      </w:r>
      <w:r w:rsidRPr="0097380B">
        <w:rPr>
          <w:rFonts w:ascii="Times New Roman" w:hAnsi="Times New Roman" w:cs="Times New Roman"/>
          <w:sz w:val="24"/>
          <w:szCs w:val="24"/>
        </w:rPr>
        <w:t xml:space="preserve">, and </w:t>
      </w:r>
      <w:r>
        <w:rPr>
          <w:rFonts w:ascii="Times New Roman" w:hAnsi="Times New Roman" w:cs="Times New Roman"/>
          <w:sz w:val="24"/>
          <w:szCs w:val="24"/>
        </w:rPr>
        <w:t>M</w:t>
      </w:r>
      <w:r w:rsidR="00A001C4">
        <w:rPr>
          <w:rFonts w:ascii="Times New Roman" w:hAnsi="Times New Roman" w:cs="Times New Roman"/>
          <w:sz w:val="24"/>
          <w:szCs w:val="24"/>
        </w:rPr>
        <w:t>.</w:t>
      </w:r>
      <w:r w:rsidRPr="0097380B">
        <w:rPr>
          <w:rFonts w:ascii="Times New Roman" w:hAnsi="Times New Roman" w:cs="Times New Roman"/>
          <w:sz w:val="24"/>
          <w:szCs w:val="24"/>
        </w:rPr>
        <w:t xml:space="preserve"> </w:t>
      </w:r>
      <w:r>
        <w:rPr>
          <w:rFonts w:ascii="Times New Roman" w:hAnsi="Times New Roman" w:cs="Times New Roman"/>
          <w:sz w:val="24"/>
          <w:szCs w:val="24"/>
        </w:rPr>
        <w:t>J</w:t>
      </w:r>
      <w:r w:rsidRPr="0097380B">
        <w:rPr>
          <w:rFonts w:ascii="Times New Roman" w:hAnsi="Times New Roman" w:cs="Times New Roman"/>
          <w:sz w:val="24"/>
          <w:szCs w:val="24"/>
        </w:rPr>
        <w:t>. Gruber</w:t>
      </w:r>
      <w:r w:rsidRPr="0097380B">
        <w:rPr>
          <w:rFonts w:ascii="Times New Roman" w:hAnsi="Times New Roman" w:cs="Times New Roman" w:hint="eastAsia"/>
          <w:sz w:val="24"/>
          <w:szCs w:val="24"/>
        </w:rPr>
        <w:t>.</w:t>
      </w:r>
      <w:proofErr w:type="gramEnd"/>
      <w:r w:rsidRPr="0097380B">
        <w:rPr>
          <w:rFonts w:ascii="Times New Roman" w:hAnsi="Times New Roman" w:cs="Times New Roman" w:hint="eastAsia"/>
          <w:sz w:val="24"/>
          <w:szCs w:val="24"/>
        </w:rPr>
        <w:t xml:space="preserve"> 1982. "Projecting the Financial Condition of a Pension Plan Using Simulation Analysis</w:t>
      </w:r>
      <w:r w:rsidR="00A001C4">
        <w:rPr>
          <w:rFonts w:ascii="Times New Roman" w:hAnsi="Times New Roman" w:cs="Times New Roman"/>
          <w:sz w:val="24"/>
          <w:szCs w:val="24"/>
        </w:rPr>
        <w:t>.</w:t>
      </w:r>
      <w:r w:rsidRPr="0097380B">
        <w:rPr>
          <w:rFonts w:ascii="Times New Roman" w:hAnsi="Times New Roman" w:cs="Times New Roman" w:hint="eastAsia"/>
          <w:sz w:val="24"/>
          <w:szCs w:val="24"/>
        </w:rPr>
        <w:t>" </w:t>
      </w:r>
      <w:proofErr w:type="gramStart"/>
      <w:r w:rsidRPr="0097380B">
        <w:rPr>
          <w:rFonts w:ascii="Times New Roman" w:hAnsi="Times New Roman" w:cs="Times New Roman" w:hint="eastAsia"/>
          <w:i/>
          <w:iCs/>
          <w:sz w:val="24"/>
          <w:szCs w:val="24"/>
        </w:rPr>
        <w:t>The Journal of Finance.</w:t>
      </w:r>
      <w:proofErr w:type="gramEnd"/>
      <w:r w:rsidRPr="0097380B">
        <w:rPr>
          <w:rFonts w:ascii="Times New Roman" w:hAnsi="Times New Roman" w:cs="Times New Roman" w:hint="eastAsia"/>
          <w:i/>
          <w:iCs/>
          <w:sz w:val="24"/>
          <w:szCs w:val="24"/>
        </w:rPr>
        <w:t> </w:t>
      </w:r>
      <w:r w:rsidRPr="0097380B">
        <w:rPr>
          <w:rFonts w:ascii="Times New Roman" w:hAnsi="Times New Roman" w:cs="Times New Roman" w:hint="eastAsia"/>
          <w:sz w:val="24"/>
          <w:szCs w:val="24"/>
        </w:rPr>
        <w:t>37 (2): 577-584.</w:t>
      </w:r>
    </w:p>
    <w:p w14:paraId="48629E02" w14:textId="4A079955" w:rsidR="004E23B2" w:rsidRPr="00A81263" w:rsidRDefault="004E23B2" w:rsidP="006B20F2">
      <w:pPr>
        <w:spacing w:after="0" w:line="240" w:lineRule="auto"/>
        <w:ind w:left="720" w:hanging="720"/>
        <w:contextualSpacing/>
        <w:rPr>
          <w:rFonts w:ascii="Times New Roman" w:hAnsi="Times New Roman" w:cs="Times New Roman"/>
          <w:sz w:val="24"/>
          <w:szCs w:val="24"/>
        </w:rPr>
      </w:pPr>
      <w:proofErr w:type="gramStart"/>
      <w:r w:rsidRPr="00A81263">
        <w:rPr>
          <w:rFonts w:ascii="Times New Roman" w:hAnsi="Times New Roman" w:cs="Times New Roman"/>
          <w:sz w:val="24"/>
          <w:szCs w:val="24"/>
        </w:rPr>
        <w:t>Levine, C</w:t>
      </w:r>
      <w:r w:rsidR="00A001C4">
        <w:rPr>
          <w:rFonts w:ascii="Times New Roman" w:hAnsi="Times New Roman" w:cs="Times New Roman"/>
          <w:sz w:val="24"/>
          <w:szCs w:val="24"/>
        </w:rPr>
        <w:t>.</w:t>
      </w:r>
      <w:r w:rsidRPr="00A81263">
        <w:rPr>
          <w:rFonts w:ascii="Times New Roman" w:hAnsi="Times New Roman" w:cs="Times New Roman"/>
          <w:sz w:val="24"/>
          <w:szCs w:val="24"/>
        </w:rPr>
        <w:t xml:space="preserve"> H., I</w:t>
      </w:r>
      <w:r w:rsidR="00A001C4">
        <w:rPr>
          <w:rFonts w:ascii="Times New Roman" w:hAnsi="Times New Roman" w:cs="Times New Roman"/>
          <w:sz w:val="24"/>
          <w:szCs w:val="24"/>
        </w:rPr>
        <w:t>.</w:t>
      </w:r>
      <w:r w:rsidRPr="00A81263">
        <w:rPr>
          <w:rFonts w:ascii="Times New Roman" w:hAnsi="Times New Roman" w:cs="Times New Roman"/>
          <w:sz w:val="24"/>
          <w:szCs w:val="24"/>
        </w:rPr>
        <w:t xml:space="preserve"> Rubin, and G</w:t>
      </w:r>
      <w:r w:rsidR="00A001C4">
        <w:rPr>
          <w:rFonts w:ascii="Times New Roman" w:hAnsi="Times New Roman" w:cs="Times New Roman"/>
          <w:sz w:val="24"/>
          <w:szCs w:val="24"/>
        </w:rPr>
        <w:t>.</w:t>
      </w:r>
      <w:r w:rsidRPr="00A81263">
        <w:rPr>
          <w:rFonts w:ascii="Times New Roman" w:hAnsi="Times New Roman" w:cs="Times New Roman"/>
          <w:sz w:val="24"/>
          <w:szCs w:val="24"/>
        </w:rPr>
        <w:t xml:space="preserve"> G. </w:t>
      </w:r>
      <w:proofErr w:type="spellStart"/>
      <w:r w:rsidRPr="00A81263">
        <w:rPr>
          <w:rFonts w:ascii="Times New Roman" w:hAnsi="Times New Roman" w:cs="Times New Roman"/>
          <w:sz w:val="24"/>
          <w:szCs w:val="24"/>
        </w:rPr>
        <w:t>Wolohojian</w:t>
      </w:r>
      <w:proofErr w:type="spellEnd"/>
      <w:r w:rsidRPr="00A81263">
        <w:rPr>
          <w:rFonts w:ascii="Times New Roman" w:hAnsi="Times New Roman" w:cs="Times New Roman"/>
          <w:sz w:val="24"/>
          <w:szCs w:val="24"/>
        </w:rPr>
        <w:t>.</w:t>
      </w:r>
      <w:proofErr w:type="gramEnd"/>
      <w:r w:rsidRPr="00A81263">
        <w:rPr>
          <w:rFonts w:ascii="Times New Roman" w:hAnsi="Times New Roman" w:cs="Times New Roman"/>
          <w:sz w:val="24"/>
          <w:szCs w:val="24"/>
        </w:rPr>
        <w:t xml:space="preserve"> 1981. </w:t>
      </w:r>
      <w:r w:rsidRPr="00A81263">
        <w:rPr>
          <w:rFonts w:ascii="Times New Roman" w:hAnsi="Times New Roman" w:cs="Times New Roman"/>
          <w:i/>
          <w:iCs/>
          <w:sz w:val="24"/>
          <w:szCs w:val="24"/>
        </w:rPr>
        <w:t xml:space="preserve">The </w:t>
      </w:r>
      <w:r w:rsidR="00A001C4">
        <w:rPr>
          <w:rFonts w:ascii="Times New Roman" w:hAnsi="Times New Roman" w:cs="Times New Roman"/>
          <w:i/>
          <w:iCs/>
          <w:sz w:val="24"/>
          <w:szCs w:val="24"/>
        </w:rPr>
        <w:t>P</w:t>
      </w:r>
      <w:r w:rsidRPr="00A81263">
        <w:rPr>
          <w:rFonts w:ascii="Times New Roman" w:hAnsi="Times New Roman" w:cs="Times New Roman"/>
          <w:i/>
          <w:iCs/>
          <w:sz w:val="24"/>
          <w:szCs w:val="24"/>
        </w:rPr>
        <w:t xml:space="preserve">olitics of </w:t>
      </w:r>
      <w:r w:rsidR="00A001C4">
        <w:rPr>
          <w:rFonts w:ascii="Times New Roman" w:hAnsi="Times New Roman" w:cs="Times New Roman"/>
          <w:i/>
          <w:iCs/>
          <w:sz w:val="24"/>
          <w:szCs w:val="24"/>
        </w:rPr>
        <w:t>R</w:t>
      </w:r>
      <w:r w:rsidRPr="00A81263">
        <w:rPr>
          <w:rFonts w:ascii="Times New Roman" w:hAnsi="Times New Roman" w:cs="Times New Roman"/>
          <w:i/>
          <w:iCs/>
          <w:sz w:val="24"/>
          <w:szCs w:val="24"/>
        </w:rPr>
        <w:t xml:space="preserve">etrenchment: </w:t>
      </w:r>
      <w:r w:rsidR="00A001C4">
        <w:rPr>
          <w:rFonts w:ascii="Times New Roman" w:hAnsi="Times New Roman" w:cs="Times New Roman"/>
          <w:i/>
          <w:iCs/>
          <w:sz w:val="24"/>
          <w:szCs w:val="24"/>
        </w:rPr>
        <w:t>H</w:t>
      </w:r>
      <w:r w:rsidRPr="00A81263">
        <w:rPr>
          <w:rFonts w:ascii="Times New Roman" w:hAnsi="Times New Roman" w:cs="Times New Roman"/>
          <w:i/>
          <w:iCs/>
          <w:sz w:val="24"/>
          <w:szCs w:val="24"/>
        </w:rPr>
        <w:t xml:space="preserve">ow </w:t>
      </w:r>
      <w:r w:rsidR="00A001C4">
        <w:rPr>
          <w:rFonts w:ascii="Times New Roman" w:hAnsi="Times New Roman" w:cs="Times New Roman"/>
          <w:i/>
          <w:iCs/>
          <w:sz w:val="24"/>
          <w:szCs w:val="24"/>
        </w:rPr>
        <w:t>L</w:t>
      </w:r>
      <w:r w:rsidRPr="00A81263">
        <w:rPr>
          <w:rFonts w:ascii="Times New Roman" w:hAnsi="Times New Roman" w:cs="Times New Roman"/>
          <w:i/>
          <w:iCs/>
          <w:sz w:val="24"/>
          <w:szCs w:val="24"/>
        </w:rPr>
        <w:t xml:space="preserve">ocal </w:t>
      </w:r>
      <w:r w:rsidR="00A001C4">
        <w:rPr>
          <w:rFonts w:ascii="Times New Roman" w:hAnsi="Times New Roman" w:cs="Times New Roman"/>
          <w:i/>
          <w:iCs/>
          <w:sz w:val="24"/>
          <w:szCs w:val="24"/>
        </w:rPr>
        <w:t>G</w:t>
      </w:r>
      <w:r w:rsidRPr="00A81263">
        <w:rPr>
          <w:rFonts w:ascii="Times New Roman" w:hAnsi="Times New Roman" w:cs="Times New Roman"/>
          <w:i/>
          <w:iCs/>
          <w:sz w:val="24"/>
          <w:szCs w:val="24"/>
        </w:rPr>
        <w:t xml:space="preserve">overnments </w:t>
      </w:r>
      <w:r w:rsidR="00A001C4">
        <w:rPr>
          <w:rFonts w:ascii="Times New Roman" w:hAnsi="Times New Roman" w:cs="Times New Roman"/>
          <w:i/>
          <w:iCs/>
          <w:sz w:val="24"/>
          <w:szCs w:val="24"/>
        </w:rPr>
        <w:t>M</w:t>
      </w:r>
      <w:r w:rsidRPr="00A81263">
        <w:rPr>
          <w:rFonts w:ascii="Times New Roman" w:hAnsi="Times New Roman" w:cs="Times New Roman"/>
          <w:i/>
          <w:iCs/>
          <w:sz w:val="24"/>
          <w:szCs w:val="24"/>
        </w:rPr>
        <w:t xml:space="preserve">anage </w:t>
      </w:r>
      <w:r w:rsidR="00A001C4">
        <w:rPr>
          <w:rFonts w:ascii="Times New Roman" w:hAnsi="Times New Roman" w:cs="Times New Roman"/>
          <w:i/>
          <w:iCs/>
          <w:sz w:val="24"/>
          <w:szCs w:val="24"/>
        </w:rPr>
        <w:t>F</w:t>
      </w:r>
      <w:r w:rsidRPr="00A81263">
        <w:rPr>
          <w:rFonts w:ascii="Times New Roman" w:hAnsi="Times New Roman" w:cs="Times New Roman"/>
          <w:i/>
          <w:iCs/>
          <w:sz w:val="24"/>
          <w:szCs w:val="24"/>
        </w:rPr>
        <w:t xml:space="preserve">iscal </w:t>
      </w:r>
      <w:r w:rsidR="00A001C4">
        <w:rPr>
          <w:rFonts w:ascii="Times New Roman" w:hAnsi="Times New Roman" w:cs="Times New Roman"/>
          <w:i/>
          <w:iCs/>
          <w:sz w:val="24"/>
          <w:szCs w:val="24"/>
        </w:rPr>
        <w:t>S</w:t>
      </w:r>
      <w:r w:rsidRPr="00A81263">
        <w:rPr>
          <w:rFonts w:ascii="Times New Roman" w:hAnsi="Times New Roman" w:cs="Times New Roman"/>
          <w:i/>
          <w:iCs/>
          <w:sz w:val="24"/>
          <w:szCs w:val="24"/>
        </w:rPr>
        <w:t>tress</w:t>
      </w:r>
      <w:r w:rsidRPr="00A81263">
        <w:rPr>
          <w:rFonts w:ascii="Times New Roman" w:hAnsi="Times New Roman" w:cs="Times New Roman"/>
          <w:sz w:val="24"/>
          <w:szCs w:val="24"/>
        </w:rPr>
        <w:t>. Beverly Hills: Sage Publications.</w:t>
      </w:r>
    </w:p>
    <w:p w14:paraId="0A5482C1" w14:textId="5F9463D8" w:rsidR="004E23B2" w:rsidRPr="00A81263" w:rsidRDefault="004E23B2" w:rsidP="002629C2">
      <w:pPr>
        <w:spacing w:after="0" w:line="240" w:lineRule="auto"/>
        <w:ind w:left="720" w:hanging="720"/>
        <w:contextualSpacing/>
        <w:rPr>
          <w:rFonts w:ascii="Times New Roman" w:hAnsi="Times New Roman" w:cs="Times New Roman"/>
          <w:sz w:val="24"/>
          <w:szCs w:val="24"/>
        </w:rPr>
      </w:pPr>
      <w:r w:rsidRPr="00A81263">
        <w:rPr>
          <w:rFonts w:ascii="Times New Roman" w:hAnsi="Times New Roman" w:cs="Times New Roman"/>
          <w:sz w:val="24"/>
          <w:szCs w:val="24"/>
        </w:rPr>
        <w:t xml:space="preserve">Lucey, C. 2009. Nutter Announces Pension Saving Plan. </w:t>
      </w:r>
      <w:proofErr w:type="gramStart"/>
      <w:r w:rsidRPr="00A81263">
        <w:rPr>
          <w:rFonts w:ascii="Times New Roman" w:hAnsi="Times New Roman" w:cs="Times New Roman"/>
          <w:sz w:val="24"/>
          <w:szCs w:val="24"/>
        </w:rPr>
        <w:t xml:space="preserve">Accessed </w:t>
      </w:r>
      <w:r w:rsidR="00234634">
        <w:rPr>
          <w:rFonts w:ascii="Times New Roman" w:hAnsi="Times New Roman" w:cs="Times New Roman"/>
          <w:sz w:val="24"/>
          <w:szCs w:val="24"/>
        </w:rPr>
        <w:t>January 14, 2015</w:t>
      </w:r>
      <w:r w:rsidRPr="00A81263">
        <w:rPr>
          <w:rFonts w:ascii="Times New Roman" w:hAnsi="Times New Roman" w:cs="Times New Roman"/>
          <w:sz w:val="24"/>
          <w:szCs w:val="24"/>
        </w:rPr>
        <w:t xml:space="preserve">, </w:t>
      </w:r>
      <w:hyperlink r:id="rId16" w:history="1">
        <w:r w:rsidRPr="00A81263">
          <w:rPr>
            <w:rStyle w:val="Hyperlink"/>
            <w:rFonts w:ascii="Times New Roman" w:hAnsi="Times New Roman" w:cs="Times New Roman"/>
            <w:sz w:val="24"/>
            <w:szCs w:val="24"/>
          </w:rPr>
          <w:t>http://www.philly.com/philly/blogs/cityhall/Nutter_Announces_Pension_Savings_Plan.html</w:t>
        </w:r>
      </w:hyperlink>
      <w:r w:rsidRPr="00A81263">
        <w:rPr>
          <w:rFonts w:ascii="Times New Roman" w:hAnsi="Times New Roman" w:cs="Times New Roman"/>
          <w:sz w:val="24"/>
          <w:szCs w:val="24"/>
        </w:rPr>
        <w:t>.</w:t>
      </w:r>
      <w:proofErr w:type="gramEnd"/>
    </w:p>
    <w:p w14:paraId="6728D94A" w14:textId="290B8F4E" w:rsidR="004E23B2" w:rsidRPr="00A81263" w:rsidRDefault="004E23B2" w:rsidP="00F44243">
      <w:pPr>
        <w:spacing w:after="0" w:line="240" w:lineRule="auto"/>
        <w:ind w:left="720" w:hanging="720"/>
        <w:contextualSpacing/>
        <w:rPr>
          <w:rFonts w:ascii="Times New Roman" w:hAnsi="Times New Roman" w:cs="Times New Roman"/>
          <w:sz w:val="24"/>
          <w:szCs w:val="24"/>
        </w:rPr>
      </w:pPr>
      <w:proofErr w:type="gramStart"/>
      <w:r w:rsidRPr="00A81263">
        <w:rPr>
          <w:rFonts w:ascii="Times New Roman" w:hAnsi="Times New Roman" w:cs="Times New Roman"/>
          <w:sz w:val="24"/>
          <w:szCs w:val="24"/>
        </w:rPr>
        <w:t>Marks, B</w:t>
      </w:r>
      <w:r w:rsidR="00A001C4">
        <w:rPr>
          <w:rFonts w:ascii="Times New Roman" w:hAnsi="Times New Roman" w:cs="Times New Roman"/>
          <w:sz w:val="24"/>
          <w:szCs w:val="24"/>
        </w:rPr>
        <w:t>.</w:t>
      </w:r>
      <w:r w:rsidRPr="00A81263">
        <w:rPr>
          <w:rFonts w:ascii="Times New Roman" w:hAnsi="Times New Roman" w:cs="Times New Roman"/>
          <w:sz w:val="24"/>
          <w:szCs w:val="24"/>
        </w:rPr>
        <w:t xml:space="preserve"> R., K. K. Raman, and E</w:t>
      </w:r>
      <w:r w:rsidR="00A001C4">
        <w:rPr>
          <w:rFonts w:ascii="Times New Roman" w:hAnsi="Times New Roman" w:cs="Times New Roman"/>
          <w:sz w:val="24"/>
          <w:szCs w:val="24"/>
        </w:rPr>
        <w:t>.</w:t>
      </w:r>
      <w:r w:rsidRPr="00A81263">
        <w:rPr>
          <w:rFonts w:ascii="Times New Roman" w:hAnsi="Times New Roman" w:cs="Times New Roman"/>
          <w:sz w:val="24"/>
          <w:szCs w:val="24"/>
        </w:rPr>
        <w:t xml:space="preserve"> R. Wilson.</w:t>
      </w:r>
      <w:proofErr w:type="gramEnd"/>
      <w:r w:rsidRPr="00A81263">
        <w:rPr>
          <w:rFonts w:ascii="Times New Roman" w:hAnsi="Times New Roman" w:cs="Times New Roman"/>
          <w:sz w:val="24"/>
          <w:szCs w:val="24"/>
        </w:rPr>
        <w:t xml:space="preserve"> 1988. "Toward </w:t>
      </w:r>
      <w:r w:rsidR="00A001C4">
        <w:rPr>
          <w:rFonts w:ascii="Times New Roman" w:hAnsi="Times New Roman" w:cs="Times New Roman"/>
          <w:sz w:val="24"/>
          <w:szCs w:val="24"/>
        </w:rPr>
        <w:t>U</w:t>
      </w:r>
      <w:r w:rsidRPr="00A81263">
        <w:rPr>
          <w:rFonts w:ascii="Times New Roman" w:hAnsi="Times New Roman" w:cs="Times New Roman"/>
          <w:sz w:val="24"/>
          <w:szCs w:val="24"/>
        </w:rPr>
        <w:t xml:space="preserve">nderstanding the </w:t>
      </w:r>
      <w:r w:rsidR="00A001C4">
        <w:rPr>
          <w:rFonts w:ascii="Times New Roman" w:hAnsi="Times New Roman" w:cs="Times New Roman"/>
          <w:sz w:val="24"/>
          <w:szCs w:val="24"/>
        </w:rPr>
        <w:t>D</w:t>
      </w:r>
      <w:r w:rsidRPr="00A81263">
        <w:rPr>
          <w:rFonts w:ascii="Times New Roman" w:hAnsi="Times New Roman" w:cs="Times New Roman"/>
          <w:sz w:val="24"/>
          <w:szCs w:val="24"/>
        </w:rPr>
        <w:t xml:space="preserve">eterminants of </w:t>
      </w:r>
      <w:r w:rsidR="00A001C4">
        <w:rPr>
          <w:rFonts w:ascii="Times New Roman" w:hAnsi="Times New Roman" w:cs="Times New Roman"/>
          <w:sz w:val="24"/>
          <w:szCs w:val="24"/>
        </w:rPr>
        <w:t>P</w:t>
      </w:r>
      <w:r w:rsidRPr="00A81263">
        <w:rPr>
          <w:rFonts w:ascii="Times New Roman" w:hAnsi="Times New Roman" w:cs="Times New Roman"/>
          <w:sz w:val="24"/>
          <w:szCs w:val="24"/>
        </w:rPr>
        <w:t xml:space="preserve">ension </w:t>
      </w:r>
      <w:r w:rsidR="00A001C4">
        <w:rPr>
          <w:rFonts w:ascii="Times New Roman" w:hAnsi="Times New Roman" w:cs="Times New Roman"/>
          <w:sz w:val="24"/>
          <w:szCs w:val="24"/>
        </w:rPr>
        <w:t>U</w:t>
      </w:r>
      <w:r w:rsidRPr="00A81263">
        <w:rPr>
          <w:rFonts w:ascii="Times New Roman" w:hAnsi="Times New Roman" w:cs="Times New Roman"/>
          <w:sz w:val="24"/>
          <w:szCs w:val="24"/>
        </w:rPr>
        <w:t xml:space="preserve">nderfunding in the </w:t>
      </w:r>
      <w:r w:rsidR="00A001C4">
        <w:rPr>
          <w:rFonts w:ascii="Times New Roman" w:hAnsi="Times New Roman" w:cs="Times New Roman"/>
          <w:sz w:val="24"/>
          <w:szCs w:val="24"/>
        </w:rPr>
        <w:t>P</w:t>
      </w:r>
      <w:r w:rsidRPr="00A81263">
        <w:rPr>
          <w:rFonts w:ascii="Times New Roman" w:hAnsi="Times New Roman" w:cs="Times New Roman"/>
          <w:sz w:val="24"/>
          <w:szCs w:val="24"/>
        </w:rPr>
        <w:t xml:space="preserve">ublic </w:t>
      </w:r>
      <w:r w:rsidR="00A001C4">
        <w:rPr>
          <w:rFonts w:ascii="Times New Roman" w:hAnsi="Times New Roman" w:cs="Times New Roman"/>
          <w:sz w:val="24"/>
          <w:szCs w:val="24"/>
        </w:rPr>
        <w:t>S</w:t>
      </w:r>
      <w:r w:rsidRPr="00A81263">
        <w:rPr>
          <w:rFonts w:ascii="Times New Roman" w:hAnsi="Times New Roman" w:cs="Times New Roman"/>
          <w:sz w:val="24"/>
          <w:szCs w:val="24"/>
        </w:rPr>
        <w:t>ector</w:t>
      </w:r>
      <w:r w:rsidR="00A001C4">
        <w:rPr>
          <w:rFonts w:ascii="Times New Roman" w:hAnsi="Times New Roman" w:cs="Times New Roman"/>
          <w:sz w:val="24"/>
          <w:szCs w:val="24"/>
        </w:rPr>
        <w:t>.</w:t>
      </w:r>
      <w:r w:rsidRPr="00A81263">
        <w:rPr>
          <w:rFonts w:ascii="Times New Roman" w:hAnsi="Times New Roman" w:cs="Times New Roman"/>
          <w:sz w:val="24"/>
          <w:szCs w:val="24"/>
        </w:rPr>
        <w:t>" </w:t>
      </w:r>
      <w:proofErr w:type="gramStart"/>
      <w:r w:rsidRPr="00A81263">
        <w:rPr>
          <w:rFonts w:ascii="Times New Roman" w:hAnsi="Times New Roman" w:cs="Times New Roman"/>
          <w:i/>
          <w:iCs/>
          <w:sz w:val="24"/>
          <w:szCs w:val="24"/>
        </w:rPr>
        <w:t>Journal of Accounting and Public Policy.</w:t>
      </w:r>
      <w:proofErr w:type="gramEnd"/>
      <w:r w:rsidRPr="00A81263">
        <w:rPr>
          <w:rFonts w:ascii="Times New Roman" w:hAnsi="Times New Roman" w:cs="Times New Roman"/>
          <w:i/>
          <w:iCs/>
          <w:sz w:val="24"/>
          <w:szCs w:val="24"/>
        </w:rPr>
        <w:t> </w:t>
      </w:r>
      <w:r w:rsidRPr="00A81263">
        <w:rPr>
          <w:rFonts w:ascii="Times New Roman" w:hAnsi="Times New Roman" w:cs="Times New Roman"/>
          <w:sz w:val="24"/>
          <w:szCs w:val="24"/>
        </w:rPr>
        <w:t>7 (3): 157-183.</w:t>
      </w:r>
    </w:p>
    <w:p w14:paraId="2524C80C" w14:textId="77777777" w:rsidR="004E23B2" w:rsidRPr="00A81263" w:rsidRDefault="004E23B2" w:rsidP="002629C2">
      <w:pPr>
        <w:spacing w:after="0" w:line="240" w:lineRule="auto"/>
        <w:ind w:left="720" w:hanging="720"/>
        <w:contextualSpacing/>
        <w:rPr>
          <w:rFonts w:ascii="Times New Roman" w:hAnsi="Times New Roman" w:cs="Times New Roman"/>
          <w:sz w:val="24"/>
          <w:szCs w:val="24"/>
        </w:rPr>
      </w:pPr>
      <w:proofErr w:type="gramStart"/>
      <w:r w:rsidRPr="00A81263">
        <w:rPr>
          <w:rFonts w:ascii="Times New Roman" w:hAnsi="Times New Roman" w:cs="Times New Roman"/>
          <w:sz w:val="24"/>
          <w:szCs w:val="24"/>
        </w:rPr>
        <w:t>McDermott v. Regan, 624 N.E.2d 985, 987 (N.Y. 1993).</w:t>
      </w:r>
      <w:proofErr w:type="gramEnd"/>
    </w:p>
    <w:p w14:paraId="0F1B37E0" w14:textId="66590758" w:rsidR="004E23B2" w:rsidRPr="00A81263" w:rsidRDefault="004E23B2" w:rsidP="002629C2">
      <w:pPr>
        <w:tabs>
          <w:tab w:val="left" w:pos="450"/>
        </w:tabs>
        <w:spacing w:after="0" w:line="240" w:lineRule="auto"/>
        <w:ind w:left="720" w:hanging="720"/>
        <w:contextualSpacing/>
        <w:rPr>
          <w:rFonts w:ascii="Times New Roman" w:hAnsi="Times New Roman" w:cs="Times New Roman"/>
          <w:sz w:val="24"/>
          <w:szCs w:val="24"/>
        </w:rPr>
      </w:pPr>
      <w:proofErr w:type="gramStart"/>
      <w:r w:rsidRPr="00A81263">
        <w:rPr>
          <w:rFonts w:ascii="Times New Roman" w:hAnsi="Times New Roman" w:cs="Times New Roman"/>
          <w:sz w:val="24"/>
          <w:szCs w:val="24"/>
        </w:rPr>
        <w:t xml:space="preserve">Mitchell, O., and P. </w:t>
      </w:r>
      <w:proofErr w:type="spellStart"/>
      <w:r w:rsidRPr="00A81263">
        <w:rPr>
          <w:rFonts w:ascii="Times New Roman" w:hAnsi="Times New Roman" w:cs="Times New Roman"/>
          <w:sz w:val="24"/>
          <w:szCs w:val="24"/>
        </w:rPr>
        <w:t>Hsin</w:t>
      </w:r>
      <w:proofErr w:type="spellEnd"/>
      <w:r w:rsidRPr="00A81263">
        <w:rPr>
          <w:rFonts w:ascii="Times New Roman" w:hAnsi="Times New Roman" w:cs="Times New Roman"/>
          <w:sz w:val="24"/>
          <w:szCs w:val="24"/>
        </w:rPr>
        <w:t>.</w:t>
      </w:r>
      <w:proofErr w:type="gramEnd"/>
      <w:r w:rsidRPr="00A81263">
        <w:rPr>
          <w:rFonts w:ascii="Times New Roman" w:hAnsi="Times New Roman" w:cs="Times New Roman"/>
          <w:sz w:val="24"/>
          <w:szCs w:val="24"/>
        </w:rPr>
        <w:t xml:space="preserve"> 1997. Public </w:t>
      </w:r>
      <w:r w:rsidR="00A001C4">
        <w:rPr>
          <w:rFonts w:ascii="Times New Roman" w:hAnsi="Times New Roman" w:cs="Times New Roman"/>
          <w:sz w:val="24"/>
          <w:szCs w:val="24"/>
        </w:rPr>
        <w:t>P</w:t>
      </w:r>
      <w:r w:rsidRPr="00A81263">
        <w:rPr>
          <w:rFonts w:ascii="Times New Roman" w:hAnsi="Times New Roman" w:cs="Times New Roman"/>
          <w:sz w:val="24"/>
          <w:szCs w:val="24"/>
        </w:rPr>
        <w:t xml:space="preserve">ension </w:t>
      </w:r>
      <w:r w:rsidR="00A001C4">
        <w:rPr>
          <w:rFonts w:ascii="Times New Roman" w:hAnsi="Times New Roman" w:cs="Times New Roman"/>
          <w:sz w:val="24"/>
          <w:szCs w:val="24"/>
        </w:rPr>
        <w:t>G</w:t>
      </w:r>
      <w:r w:rsidRPr="00A81263">
        <w:rPr>
          <w:rFonts w:ascii="Times New Roman" w:hAnsi="Times New Roman" w:cs="Times New Roman"/>
          <w:sz w:val="24"/>
          <w:szCs w:val="24"/>
        </w:rPr>
        <w:t xml:space="preserve">overnance and </w:t>
      </w:r>
      <w:r w:rsidR="00A001C4">
        <w:rPr>
          <w:rFonts w:ascii="Times New Roman" w:hAnsi="Times New Roman" w:cs="Times New Roman"/>
          <w:sz w:val="24"/>
          <w:szCs w:val="24"/>
        </w:rPr>
        <w:t>P</w:t>
      </w:r>
      <w:r w:rsidRPr="00A81263">
        <w:rPr>
          <w:rFonts w:ascii="Times New Roman" w:hAnsi="Times New Roman" w:cs="Times New Roman"/>
          <w:sz w:val="24"/>
          <w:szCs w:val="24"/>
        </w:rPr>
        <w:t xml:space="preserve">erformance. In S. Valdes-Prieto (Ed.). </w:t>
      </w:r>
      <w:r w:rsidRPr="00A81263">
        <w:rPr>
          <w:rFonts w:ascii="Times New Roman" w:hAnsi="Times New Roman" w:cs="Times New Roman"/>
          <w:i/>
          <w:sz w:val="24"/>
          <w:szCs w:val="24"/>
        </w:rPr>
        <w:t xml:space="preserve">The Economics of </w:t>
      </w:r>
      <w:r w:rsidR="00A001C4">
        <w:rPr>
          <w:rFonts w:ascii="Times New Roman" w:hAnsi="Times New Roman" w:cs="Times New Roman"/>
          <w:i/>
          <w:sz w:val="24"/>
          <w:szCs w:val="24"/>
        </w:rPr>
        <w:t>P</w:t>
      </w:r>
      <w:r w:rsidRPr="00A81263">
        <w:rPr>
          <w:rFonts w:ascii="Times New Roman" w:hAnsi="Times New Roman" w:cs="Times New Roman"/>
          <w:i/>
          <w:sz w:val="24"/>
          <w:szCs w:val="24"/>
        </w:rPr>
        <w:t xml:space="preserve">ensions: Principles, </w:t>
      </w:r>
      <w:r w:rsidR="00A001C4">
        <w:rPr>
          <w:rFonts w:ascii="Times New Roman" w:hAnsi="Times New Roman" w:cs="Times New Roman"/>
          <w:i/>
          <w:sz w:val="24"/>
          <w:szCs w:val="24"/>
        </w:rPr>
        <w:t>P</w:t>
      </w:r>
      <w:r w:rsidRPr="00A81263">
        <w:rPr>
          <w:rFonts w:ascii="Times New Roman" w:hAnsi="Times New Roman" w:cs="Times New Roman"/>
          <w:i/>
          <w:sz w:val="24"/>
          <w:szCs w:val="24"/>
        </w:rPr>
        <w:t xml:space="preserve">olicies and </w:t>
      </w:r>
      <w:r w:rsidR="00A001C4">
        <w:rPr>
          <w:rFonts w:ascii="Times New Roman" w:hAnsi="Times New Roman" w:cs="Times New Roman"/>
          <w:i/>
          <w:sz w:val="24"/>
          <w:szCs w:val="24"/>
        </w:rPr>
        <w:t>I</w:t>
      </w:r>
      <w:r w:rsidRPr="00A81263">
        <w:rPr>
          <w:rFonts w:ascii="Times New Roman" w:hAnsi="Times New Roman" w:cs="Times New Roman"/>
          <w:i/>
          <w:sz w:val="24"/>
          <w:szCs w:val="24"/>
        </w:rPr>
        <w:t xml:space="preserve">nternational </w:t>
      </w:r>
      <w:r w:rsidR="00A001C4">
        <w:rPr>
          <w:rFonts w:ascii="Times New Roman" w:hAnsi="Times New Roman" w:cs="Times New Roman"/>
          <w:i/>
          <w:sz w:val="24"/>
          <w:szCs w:val="24"/>
        </w:rPr>
        <w:t>E</w:t>
      </w:r>
      <w:r w:rsidRPr="00A81263">
        <w:rPr>
          <w:rFonts w:ascii="Times New Roman" w:hAnsi="Times New Roman" w:cs="Times New Roman"/>
          <w:i/>
          <w:sz w:val="24"/>
          <w:szCs w:val="24"/>
        </w:rPr>
        <w:t xml:space="preserve">xperience. </w:t>
      </w:r>
      <w:r w:rsidRPr="00A81263">
        <w:rPr>
          <w:rFonts w:ascii="Times New Roman" w:hAnsi="Times New Roman" w:cs="Times New Roman"/>
          <w:sz w:val="24"/>
          <w:szCs w:val="24"/>
        </w:rPr>
        <w:t>Cambridge, MA: Cambridge University Press.</w:t>
      </w:r>
    </w:p>
    <w:p w14:paraId="223B32BE" w14:textId="5AC74C74" w:rsidR="004E23B2" w:rsidRPr="00A81263" w:rsidRDefault="004E23B2" w:rsidP="00180026">
      <w:pPr>
        <w:spacing w:after="0" w:line="240" w:lineRule="auto"/>
        <w:ind w:left="720" w:hanging="720"/>
        <w:contextualSpacing/>
        <w:rPr>
          <w:rFonts w:ascii="Times New Roman" w:hAnsi="Times New Roman" w:cs="Times New Roman"/>
          <w:sz w:val="24"/>
          <w:szCs w:val="24"/>
        </w:rPr>
      </w:pPr>
      <w:proofErr w:type="gramStart"/>
      <w:r w:rsidRPr="00A81263">
        <w:rPr>
          <w:rFonts w:ascii="Times New Roman" w:hAnsi="Times New Roman" w:cs="Times New Roman"/>
          <w:sz w:val="24"/>
          <w:szCs w:val="24"/>
        </w:rPr>
        <w:t>Moody’s.</w:t>
      </w:r>
      <w:proofErr w:type="gramEnd"/>
      <w:r w:rsidRPr="00A81263">
        <w:rPr>
          <w:rFonts w:ascii="Times New Roman" w:hAnsi="Times New Roman" w:cs="Times New Roman"/>
          <w:sz w:val="24"/>
          <w:szCs w:val="24"/>
        </w:rPr>
        <w:t xml:space="preserve"> 2013. </w:t>
      </w:r>
      <w:r w:rsidRPr="00A81263">
        <w:rPr>
          <w:rFonts w:ascii="Times New Roman" w:hAnsi="Times New Roman" w:cs="Times New Roman"/>
          <w:i/>
          <w:sz w:val="24"/>
          <w:szCs w:val="24"/>
        </w:rPr>
        <w:t>Adjusted Pension Liability Medians for US States: New Measures Highlight Varying Affordability.</w:t>
      </w:r>
      <w:r w:rsidRPr="00A81263">
        <w:rPr>
          <w:rFonts w:ascii="Times New Roman" w:hAnsi="Times New Roman" w:cs="Times New Roman"/>
          <w:sz w:val="24"/>
          <w:szCs w:val="24"/>
        </w:rPr>
        <w:t xml:space="preserve"> </w:t>
      </w:r>
      <w:proofErr w:type="gramStart"/>
      <w:r w:rsidRPr="00A81263">
        <w:rPr>
          <w:rFonts w:ascii="Times New Roman" w:hAnsi="Times New Roman" w:cs="Times New Roman"/>
          <w:sz w:val="24"/>
          <w:szCs w:val="24"/>
        </w:rPr>
        <w:t xml:space="preserve">Accessed </w:t>
      </w:r>
      <w:r w:rsidR="00234634">
        <w:rPr>
          <w:rFonts w:ascii="Times New Roman" w:hAnsi="Times New Roman" w:cs="Times New Roman"/>
          <w:sz w:val="24"/>
          <w:szCs w:val="24"/>
        </w:rPr>
        <w:t>January 14, 2015</w:t>
      </w:r>
      <w:r w:rsidRPr="00A81263">
        <w:rPr>
          <w:rFonts w:ascii="Times New Roman" w:hAnsi="Times New Roman" w:cs="Times New Roman"/>
          <w:sz w:val="24"/>
          <w:szCs w:val="24"/>
        </w:rPr>
        <w:t xml:space="preserve">, </w:t>
      </w:r>
      <w:hyperlink r:id="rId17" w:history="1">
        <w:r w:rsidRPr="00A81263">
          <w:rPr>
            <w:rStyle w:val="Hyperlink"/>
            <w:rFonts w:ascii="Times New Roman" w:hAnsi="Times New Roman" w:cs="Times New Roman"/>
            <w:sz w:val="24"/>
            <w:szCs w:val="24"/>
          </w:rPr>
          <w:t>www.ncsl.org/documents/summit/summit2013/online-resources/Moody-Adjusted-Pension-Liability-Medians.pdf</w:t>
        </w:r>
      </w:hyperlink>
      <w:r w:rsidRPr="00A81263">
        <w:rPr>
          <w:rFonts w:ascii="Times New Roman" w:hAnsi="Times New Roman" w:cs="Times New Roman"/>
          <w:sz w:val="24"/>
          <w:szCs w:val="24"/>
        </w:rPr>
        <w:t>.</w:t>
      </w:r>
      <w:proofErr w:type="gramEnd"/>
    </w:p>
    <w:p w14:paraId="54165680" w14:textId="2ACCE911" w:rsidR="004E23B2" w:rsidRPr="00A81263" w:rsidRDefault="004E23B2" w:rsidP="002629C2">
      <w:pPr>
        <w:spacing w:after="0" w:line="240" w:lineRule="auto"/>
        <w:ind w:left="720" w:hanging="720"/>
        <w:contextualSpacing/>
        <w:rPr>
          <w:rFonts w:ascii="Times New Roman" w:hAnsi="Times New Roman" w:cs="Times New Roman"/>
          <w:sz w:val="24"/>
          <w:szCs w:val="24"/>
        </w:rPr>
      </w:pPr>
      <w:proofErr w:type="spellStart"/>
      <w:r w:rsidRPr="00A81263">
        <w:rPr>
          <w:rFonts w:ascii="Times New Roman" w:hAnsi="Times New Roman" w:cs="Times New Roman"/>
          <w:sz w:val="24"/>
          <w:szCs w:val="24"/>
        </w:rPr>
        <w:t>Munnell</w:t>
      </w:r>
      <w:proofErr w:type="spellEnd"/>
      <w:r w:rsidRPr="00A81263">
        <w:rPr>
          <w:rFonts w:ascii="Times New Roman" w:hAnsi="Times New Roman" w:cs="Times New Roman"/>
          <w:sz w:val="24"/>
          <w:szCs w:val="24"/>
        </w:rPr>
        <w:t xml:space="preserve">, A. H., </w:t>
      </w:r>
      <w:proofErr w:type="spellStart"/>
      <w:r w:rsidRPr="00A81263">
        <w:rPr>
          <w:rFonts w:ascii="Times New Roman" w:hAnsi="Times New Roman" w:cs="Times New Roman"/>
          <w:sz w:val="24"/>
          <w:szCs w:val="24"/>
        </w:rPr>
        <w:t>Kopcke</w:t>
      </w:r>
      <w:proofErr w:type="spellEnd"/>
      <w:r w:rsidRPr="00A81263">
        <w:rPr>
          <w:rFonts w:ascii="Times New Roman" w:hAnsi="Times New Roman" w:cs="Times New Roman"/>
          <w:sz w:val="24"/>
          <w:szCs w:val="24"/>
        </w:rPr>
        <w:t xml:space="preserve">, R. W., </w:t>
      </w:r>
      <w:proofErr w:type="spellStart"/>
      <w:r w:rsidRPr="00A81263">
        <w:rPr>
          <w:rFonts w:ascii="Times New Roman" w:hAnsi="Times New Roman" w:cs="Times New Roman"/>
          <w:sz w:val="24"/>
          <w:szCs w:val="24"/>
        </w:rPr>
        <w:t>Aubry</w:t>
      </w:r>
      <w:proofErr w:type="spellEnd"/>
      <w:r w:rsidRPr="00A81263">
        <w:rPr>
          <w:rFonts w:ascii="Times New Roman" w:hAnsi="Times New Roman" w:cs="Times New Roman"/>
          <w:sz w:val="24"/>
          <w:szCs w:val="24"/>
        </w:rPr>
        <w:t xml:space="preserve">, A. P., &amp; </w:t>
      </w:r>
      <w:proofErr w:type="spellStart"/>
      <w:r w:rsidRPr="00A81263">
        <w:rPr>
          <w:rFonts w:ascii="Times New Roman" w:hAnsi="Times New Roman" w:cs="Times New Roman"/>
          <w:sz w:val="24"/>
          <w:szCs w:val="24"/>
        </w:rPr>
        <w:t>Quinby</w:t>
      </w:r>
      <w:proofErr w:type="spellEnd"/>
      <w:r w:rsidRPr="00A81263">
        <w:rPr>
          <w:rFonts w:ascii="Times New Roman" w:hAnsi="Times New Roman" w:cs="Times New Roman"/>
          <w:sz w:val="24"/>
          <w:szCs w:val="24"/>
        </w:rPr>
        <w:t xml:space="preserve">, L. 2010. </w:t>
      </w:r>
      <w:r w:rsidRPr="00A81263">
        <w:rPr>
          <w:rFonts w:ascii="Times New Roman" w:hAnsi="Times New Roman" w:cs="Times New Roman"/>
          <w:i/>
          <w:sz w:val="24"/>
          <w:szCs w:val="24"/>
        </w:rPr>
        <w:t xml:space="preserve">Valuing Liabilities in State and Local Plans. </w:t>
      </w:r>
      <w:proofErr w:type="gramStart"/>
      <w:r w:rsidRPr="00A81263">
        <w:rPr>
          <w:rFonts w:ascii="Times New Roman" w:hAnsi="Times New Roman" w:cs="Times New Roman"/>
          <w:i/>
          <w:sz w:val="24"/>
          <w:szCs w:val="24"/>
        </w:rPr>
        <w:t>Center for State and Local Government Excellence</w:t>
      </w:r>
      <w:r w:rsidRPr="00A81263">
        <w:rPr>
          <w:rFonts w:ascii="Times New Roman" w:hAnsi="Times New Roman" w:cs="Times New Roman"/>
          <w:sz w:val="24"/>
          <w:szCs w:val="24"/>
        </w:rPr>
        <w:t>.</w:t>
      </w:r>
      <w:proofErr w:type="gramEnd"/>
      <w:r w:rsidRPr="00A81263">
        <w:rPr>
          <w:rFonts w:ascii="Times New Roman" w:hAnsi="Times New Roman" w:cs="Times New Roman"/>
          <w:sz w:val="24"/>
          <w:szCs w:val="24"/>
        </w:rPr>
        <w:t xml:space="preserve"> </w:t>
      </w:r>
      <w:proofErr w:type="gramStart"/>
      <w:r w:rsidRPr="00A81263">
        <w:rPr>
          <w:rFonts w:ascii="Times New Roman" w:hAnsi="Times New Roman" w:cs="Times New Roman"/>
          <w:sz w:val="24"/>
          <w:szCs w:val="24"/>
        </w:rPr>
        <w:t xml:space="preserve">Accessed </w:t>
      </w:r>
      <w:r w:rsidR="00234634">
        <w:rPr>
          <w:rFonts w:ascii="Times New Roman" w:hAnsi="Times New Roman" w:cs="Times New Roman"/>
          <w:sz w:val="24"/>
          <w:szCs w:val="24"/>
        </w:rPr>
        <w:t>January 14, 2015</w:t>
      </w:r>
      <w:r w:rsidRPr="00A81263">
        <w:rPr>
          <w:rFonts w:ascii="Times New Roman" w:hAnsi="Times New Roman" w:cs="Times New Roman"/>
          <w:sz w:val="24"/>
          <w:szCs w:val="24"/>
        </w:rPr>
        <w:t xml:space="preserve">, </w:t>
      </w:r>
      <w:hyperlink r:id="rId18" w:history="1">
        <w:r w:rsidRPr="00A81263">
          <w:rPr>
            <w:rStyle w:val="Hyperlink"/>
            <w:rFonts w:ascii="Times New Roman" w:hAnsi="Times New Roman" w:cs="Times New Roman"/>
            <w:sz w:val="24"/>
            <w:szCs w:val="24"/>
          </w:rPr>
          <w:t>http://icma.org/en/icma/knowledge_network/documents/kn/Document/301359/Valuing_Liabilities_in_State_and_Local_Plans</w:t>
        </w:r>
      </w:hyperlink>
      <w:r w:rsidRPr="00A81263">
        <w:rPr>
          <w:rFonts w:ascii="Times New Roman" w:hAnsi="Times New Roman" w:cs="Times New Roman"/>
          <w:sz w:val="24"/>
          <w:szCs w:val="24"/>
        </w:rPr>
        <w:t>.</w:t>
      </w:r>
      <w:proofErr w:type="gramEnd"/>
    </w:p>
    <w:p w14:paraId="78013E2B" w14:textId="0C585BB3" w:rsidR="004E23B2" w:rsidRPr="00A81263" w:rsidRDefault="004E23B2" w:rsidP="002629C2">
      <w:pPr>
        <w:spacing w:after="0" w:line="240" w:lineRule="auto"/>
        <w:ind w:left="720" w:hanging="720"/>
        <w:contextualSpacing/>
        <w:rPr>
          <w:rFonts w:ascii="Times New Roman" w:hAnsi="Times New Roman" w:cs="Times New Roman"/>
          <w:sz w:val="24"/>
          <w:szCs w:val="24"/>
        </w:rPr>
      </w:pPr>
      <w:proofErr w:type="spellStart"/>
      <w:proofErr w:type="gramStart"/>
      <w:r w:rsidRPr="00A81263">
        <w:rPr>
          <w:rFonts w:ascii="Times New Roman" w:hAnsi="Times New Roman" w:cs="Times New Roman"/>
          <w:sz w:val="24"/>
          <w:szCs w:val="24"/>
        </w:rPr>
        <w:t>Munnell</w:t>
      </w:r>
      <w:proofErr w:type="spellEnd"/>
      <w:r w:rsidRPr="00A81263">
        <w:rPr>
          <w:rFonts w:ascii="Times New Roman" w:hAnsi="Times New Roman" w:cs="Times New Roman"/>
          <w:sz w:val="24"/>
          <w:szCs w:val="24"/>
        </w:rPr>
        <w:t>, A</w:t>
      </w:r>
      <w:r w:rsidR="00A001C4">
        <w:rPr>
          <w:rFonts w:ascii="Times New Roman" w:hAnsi="Times New Roman" w:cs="Times New Roman"/>
          <w:sz w:val="24"/>
          <w:szCs w:val="24"/>
        </w:rPr>
        <w:t>.</w:t>
      </w:r>
      <w:r w:rsidRPr="00A81263">
        <w:rPr>
          <w:rFonts w:ascii="Times New Roman" w:hAnsi="Times New Roman" w:cs="Times New Roman"/>
          <w:sz w:val="24"/>
          <w:szCs w:val="24"/>
        </w:rPr>
        <w:t xml:space="preserve"> H., J</w:t>
      </w:r>
      <w:r w:rsidR="00A001C4">
        <w:rPr>
          <w:rFonts w:ascii="Times New Roman" w:hAnsi="Times New Roman" w:cs="Times New Roman"/>
          <w:sz w:val="24"/>
          <w:szCs w:val="24"/>
        </w:rPr>
        <w:t xml:space="preserve">. </w:t>
      </w:r>
      <w:r w:rsidRPr="00A81263">
        <w:rPr>
          <w:rFonts w:ascii="Times New Roman" w:hAnsi="Times New Roman" w:cs="Times New Roman"/>
          <w:sz w:val="24"/>
          <w:szCs w:val="24"/>
        </w:rPr>
        <w:t>P</w:t>
      </w:r>
      <w:r w:rsidR="00A001C4">
        <w:rPr>
          <w:rFonts w:ascii="Times New Roman" w:hAnsi="Times New Roman" w:cs="Times New Roman"/>
          <w:sz w:val="24"/>
          <w:szCs w:val="24"/>
        </w:rPr>
        <w:t>.</w:t>
      </w:r>
      <w:r w:rsidRPr="00A81263">
        <w:rPr>
          <w:rFonts w:ascii="Times New Roman" w:hAnsi="Times New Roman" w:cs="Times New Roman"/>
          <w:sz w:val="24"/>
          <w:szCs w:val="24"/>
        </w:rPr>
        <w:t xml:space="preserve"> </w:t>
      </w:r>
      <w:proofErr w:type="spellStart"/>
      <w:r w:rsidRPr="00A81263">
        <w:rPr>
          <w:rFonts w:ascii="Times New Roman" w:hAnsi="Times New Roman" w:cs="Times New Roman"/>
          <w:sz w:val="24"/>
          <w:szCs w:val="24"/>
        </w:rPr>
        <w:t>Aubry</w:t>
      </w:r>
      <w:proofErr w:type="spellEnd"/>
      <w:r w:rsidRPr="00A81263">
        <w:rPr>
          <w:rFonts w:ascii="Times New Roman" w:hAnsi="Times New Roman" w:cs="Times New Roman"/>
          <w:sz w:val="24"/>
          <w:szCs w:val="24"/>
        </w:rPr>
        <w:t>, J</w:t>
      </w:r>
      <w:r w:rsidR="00A001C4">
        <w:rPr>
          <w:rFonts w:ascii="Times New Roman" w:hAnsi="Times New Roman" w:cs="Times New Roman"/>
          <w:sz w:val="24"/>
          <w:szCs w:val="24"/>
        </w:rPr>
        <w:t>.</w:t>
      </w:r>
      <w:r w:rsidRPr="00A81263">
        <w:rPr>
          <w:rFonts w:ascii="Times New Roman" w:hAnsi="Times New Roman" w:cs="Times New Roman"/>
          <w:sz w:val="24"/>
          <w:szCs w:val="24"/>
        </w:rPr>
        <w:t xml:space="preserve"> Hurwitz, and M</w:t>
      </w:r>
      <w:r w:rsidR="00A001C4">
        <w:rPr>
          <w:rFonts w:ascii="Times New Roman" w:hAnsi="Times New Roman" w:cs="Times New Roman"/>
          <w:sz w:val="24"/>
          <w:szCs w:val="24"/>
        </w:rPr>
        <w:t>.</w:t>
      </w:r>
      <w:r w:rsidRPr="00A81263">
        <w:rPr>
          <w:rFonts w:ascii="Times New Roman" w:hAnsi="Times New Roman" w:cs="Times New Roman"/>
          <w:sz w:val="24"/>
          <w:szCs w:val="24"/>
        </w:rPr>
        <w:t xml:space="preserve"> </w:t>
      </w:r>
      <w:proofErr w:type="spellStart"/>
      <w:r w:rsidRPr="00A81263">
        <w:rPr>
          <w:rFonts w:ascii="Times New Roman" w:hAnsi="Times New Roman" w:cs="Times New Roman"/>
          <w:sz w:val="24"/>
          <w:szCs w:val="24"/>
        </w:rPr>
        <w:t>Medenica</w:t>
      </w:r>
      <w:proofErr w:type="spellEnd"/>
      <w:r w:rsidRPr="00A81263">
        <w:rPr>
          <w:rFonts w:ascii="Times New Roman" w:hAnsi="Times New Roman" w:cs="Times New Roman"/>
          <w:sz w:val="24"/>
          <w:szCs w:val="24"/>
        </w:rPr>
        <w:t>.</w:t>
      </w:r>
      <w:proofErr w:type="gramEnd"/>
      <w:r w:rsidRPr="00A81263">
        <w:rPr>
          <w:rFonts w:ascii="Times New Roman" w:hAnsi="Times New Roman" w:cs="Times New Roman"/>
          <w:sz w:val="24"/>
          <w:szCs w:val="24"/>
        </w:rPr>
        <w:t xml:space="preserve"> 2013. </w:t>
      </w:r>
      <w:r w:rsidRPr="00A81263">
        <w:rPr>
          <w:rFonts w:ascii="Times New Roman" w:hAnsi="Times New Roman" w:cs="Times New Roman"/>
          <w:i/>
          <w:sz w:val="24"/>
          <w:szCs w:val="24"/>
        </w:rPr>
        <w:t>The Funding of State and Local Pensions: 2012-2016</w:t>
      </w:r>
      <w:r w:rsidRPr="00A81263">
        <w:rPr>
          <w:rFonts w:ascii="Times New Roman" w:hAnsi="Times New Roman" w:cs="Times New Roman"/>
          <w:sz w:val="24"/>
          <w:szCs w:val="24"/>
        </w:rPr>
        <w:t xml:space="preserve">. Accessed </w:t>
      </w:r>
      <w:r w:rsidR="00234634">
        <w:rPr>
          <w:rFonts w:ascii="Times New Roman" w:hAnsi="Times New Roman" w:cs="Times New Roman"/>
          <w:sz w:val="24"/>
          <w:szCs w:val="24"/>
        </w:rPr>
        <w:t>January 14, 2015</w:t>
      </w:r>
      <w:r w:rsidRPr="00A81263">
        <w:rPr>
          <w:rFonts w:ascii="Times New Roman" w:hAnsi="Times New Roman" w:cs="Times New Roman"/>
          <w:sz w:val="24"/>
          <w:szCs w:val="24"/>
        </w:rPr>
        <w:t xml:space="preserve">, </w:t>
      </w:r>
      <w:hyperlink r:id="rId19" w:history="1">
        <w:r w:rsidRPr="00A81263">
          <w:rPr>
            <w:rStyle w:val="Hyperlink"/>
            <w:rFonts w:ascii="Times New Roman" w:hAnsi="Times New Roman" w:cs="Times New Roman"/>
            <w:sz w:val="24"/>
            <w:szCs w:val="24"/>
          </w:rPr>
          <w:t>http://crr.bc.edu/briefs/the-funding-of-state-and-local-pensions-2012-2016/</w:t>
        </w:r>
      </w:hyperlink>
    </w:p>
    <w:p w14:paraId="62BAF75F" w14:textId="6E68FFCF" w:rsidR="004E23B2" w:rsidRPr="00A81263" w:rsidRDefault="004E23B2" w:rsidP="002629C2">
      <w:pPr>
        <w:spacing w:after="0" w:line="240" w:lineRule="auto"/>
        <w:ind w:left="720" w:hanging="720"/>
        <w:contextualSpacing/>
        <w:rPr>
          <w:rFonts w:ascii="Times New Roman" w:hAnsi="Times New Roman" w:cs="Times New Roman"/>
          <w:sz w:val="24"/>
          <w:szCs w:val="24"/>
        </w:rPr>
      </w:pPr>
      <w:proofErr w:type="spellStart"/>
      <w:proofErr w:type="gramStart"/>
      <w:r w:rsidRPr="00A81263">
        <w:rPr>
          <w:rFonts w:ascii="Times New Roman" w:hAnsi="Times New Roman" w:cs="Times New Roman"/>
          <w:sz w:val="24"/>
          <w:szCs w:val="24"/>
        </w:rPr>
        <w:lastRenderedPageBreak/>
        <w:t>Novy</w:t>
      </w:r>
      <w:proofErr w:type="spellEnd"/>
      <w:r w:rsidRPr="00A81263">
        <w:rPr>
          <w:rFonts w:ascii="Cambria Math" w:hAnsi="Cambria Math" w:cs="Cambria Math"/>
          <w:sz w:val="24"/>
          <w:szCs w:val="24"/>
        </w:rPr>
        <w:t>‐</w:t>
      </w:r>
      <w:r w:rsidRPr="00A81263">
        <w:rPr>
          <w:rFonts w:ascii="Times New Roman" w:hAnsi="Times New Roman" w:cs="Times New Roman"/>
          <w:sz w:val="24"/>
          <w:szCs w:val="24"/>
        </w:rPr>
        <w:t>Marx, R</w:t>
      </w:r>
      <w:r w:rsidR="00A001C4">
        <w:rPr>
          <w:rFonts w:ascii="Times New Roman" w:hAnsi="Times New Roman" w:cs="Times New Roman"/>
          <w:sz w:val="24"/>
          <w:szCs w:val="24"/>
        </w:rPr>
        <w:t>.</w:t>
      </w:r>
      <w:r w:rsidRPr="00A81263">
        <w:rPr>
          <w:rFonts w:ascii="Times New Roman" w:hAnsi="Times New Roman" w:cs="Times New Roman"/>
          <w:sz w:val="24"/>
          <w:szCs w:val="24"/>
        </w:rPr>
        <w:t>, and J</w:t>
      </w:r>
      <w:r w:rsidR="00A001C4">
        <w:rPr>
          <w:rFonts w:ascii="Times New Roman" w:hAnsi="Times New Roman" w:cs="Times New Roman"/>
          <w:sz w:val="24"/>
          <w:szCs w:val="24"/>
        </w:rPr>
        <w:t>.</w:t>
      </w:r>
      <w:r w:rsidRPr="00A81263">
        <w:rPr>
          <w:rFonts w:ascii="Times New Roman" w:hAnsi="Times New Roman" w:cs="Times New Roman"/>
          <w:sz w:val="24"/>
          <w:szCs w:val="24"/>
        </w:rPr>
        <w:t xml:space="preserve"> </w:t>
      </w:r>
      <w:proofErr w:type="spellStart"/>
      <w:r w:rsidRPr="00A81263">
        <w:rPr>
          <w:rFonts w:ascii="Times New Roman" w:hAnsi="Times New Roman" w:cs="Times New Roman"/>
          <w:sz w:val="24"/>
          <w:szCs w:val="24"/>
        </w:rPr>
        <w:t>Rauh</w:t>
      </w:r>
      <w:proofErr w:type="spellEnd"/>
      <w:r w:rsidRPr="00A81263">
        <w:rPr>
          <w:rFonts w:ascii="Times New Roman" w:hAnsi="Times New Roman" w:cs="Times New Roman"/>
          <w:sz w:val="24"/>
          <w:szCs w:val="24"/>
        </w:rPr>
        <w:t>.</w:t>
      </w:r>
      <w:proofErr w:type="gramEnd"/>
      <w:r w:rsidRPr="00A81263">
        <w:rPr>
          <w:rFonts w:ascii="Times New Roman" w:hAnsi="Times New Roman" w:cs="Times New Roman"/>
          <w:sz w:val="24"/>
          <w:szCs w:val="24"/>
        </w:rPr>
        <w:t xml:space="preserve"> 2009. </w:t>
      </w:r>
      <w:r w:rsidR="00A001C4" w:rsidRPr="00E31C77">
        <w:rPr>
          <w:rFonts w:ascii="Times New Roman" w:hAnsi="Times New Roman" w:cs="Times New Roman"/>
          <w:sz w:val="24"/>
          <w:szCs w:val="24"/>
        </w:rPr>
        <w:t>"</w:t>
      </w:r>
      <w:r w:rsidRPr="00A81263">
        <w:rPr>
          <w:rFonts w:ascii="Times New Roman" w:hAnsi="Times New Roman" w:cs="Times New Roman"/>
          <w:sz w:val="24"/>
          <w:szCs w:val="24"/>
        </w:rPr>
        <w:t>The Liabilities and Risks of State-Sponsored Pension Plans</w:t>
      </w:r>
      <w:r w:rsidR="00A001C4">
        <w:rPr>
          <w:rFonts w:ascii="Times New Roman" w:hAnsi="Times New Roman" w:cs="Times New Roman"/>
          <w:sz w:val="24"/>
          <w:szCs w:val="24"/>
        </w:rPr>
        <w:t>.</w:t>
      </w:r>
      <w:r w:rsidR="00A001C4" w:rsidRPr="00E31C77">
        <w:rPr>
          <w:rFonts w:ascii="Times New Roman" w:hAnsi="Times New Roman" w:cs="Times New Roman"/>
          <w:sz w:val="24"/>
          <w:szCs w:val="24"/>
        </w:rPr>
        <w:t>"</w:t>
      </w:r>
      <w:r w:rsidRPr="00A81263">
        <w:rPr>
          <w:rFonts w:ascii="Times New Roman" w:hAnsi="Times New Roman" w:cs="Times New Roman"/>
          <w:sz w:val="24"/>
          <w:szCs w:val="24"/>
        </w:rPr>
        <w:t xml:space="preserve"> </w:t>
      </w:r>
      <w:proofErr w:type="gramStart"/>
      <w:r w:rsidRPr="00A81263">
        <w:rPr>
          <w:rFonts w:ascii="Times New Roman" w:hAnsi="Times New Roman" w:cs="Times New Roman"/>
          <w:i/>
          <w:iCs/>
          <w:sz w:val="24"/>
          <w:szCs w:val="24"/>
        </w:rPr>
        <w:t>Journal of Economic Perspectives</w:t>
      </w:r>
      <w:r w:rsidRPr="00A81263">
        <w:rPr>
          <w:rFonts w:ascii="Times New Roman" w:hAnsi="Times New Roman" w:cs="Times New Roman"/>
          <w:sz w:val="24"/>
          <w:szCs w:val="24"/>
        </w:rPr>
        <w:t>.</w:t>
      </w:r>
      <w:proofErr w:type="gramEnd"/>
      <w:r w:rsidRPr="00A81263">
        <w:rPr>
          <w:rFonts w:ascii="Times New Roman" w:hAnsi="Times New Roman" w:cs="Times New Roman"/>
          <w:sz w:val="24"/>
          <w:szCs w:val="24"/>
        </w:rPr>
        <w:t xml:space="preserve"> 23(4): 191-210.</w:t>
      </w:r>
    </w:p>
    <w:p w14:paraId="39B0EC2D" w14:textId="232F9924" w:rsidR="004E23B2" w:rsidRPr="00A81263" w:rsidRDefault="004E23B2" w:rsidP="002629C2">
      <w:pPr>
        <w:spacing w:after="0" w:line="240" w:lineRule="auto"/>
        <w:ind w:left="720" w:hanging="720"/>
        <w:contextualSpacing/>
        <w:rPr>
          <w:rFonts w:ascii="Times New Roman" w:hAnsi="Times New Roman" w:cs="Times New Roman"/>
          <w:sz w:val="24"/>
          <w:szCs w:val="24"/>
        </w:rPr>
      </w:pPr>
      <w:proofErr w:type="spellStart"/>
      <w:proofErr w:type="gramStart"/>
      <w:r w:rsidRPr="00A81263">
        <w:rPr>
          <w:rFonts w:ascii="Times New Roman" w:hAnsi="Times New Roman" w:cs="Times New Roman"/>
          <w:sz w:val="24"/>
          <w:szCs w:val="24"/>
        </w:rPr>
        <w:t>Novy</w:t>
      </w:r>
      <w:proofErr w:type="spellEnd"/>
      <w:r w:rsidRPr="00A81263">
        <w:rPr>
          <w:rFonts w:ascii="Cambria Math" w:hAnsi="Cambria Math" w:cs="Cambria Math"/>
          <w:sz w:val="24"/>
          <w:szCs w:val="24"/>
        </w:rPr>
        <w:t>‐</w:t>
      </w:r>
      <w:r w:rsidRPr="00A81263">
        <w:rPr>
          <w:rFonts w:ascii="Times New Roman" w:hAnsi="Times New Roman" w:cs="Times New Roman"/>
          <w:sz w:val="24"/>
          <w:szCs w:val="24"/>
        </w:rPr>
        <w:t>Marx, R</w:t>
      </w:r>
      <w:r w:rsidR="00A001C4">
        <w:rPr>
          <w:rFonts w:ascii="Times New Roman" w:hAnsi="Times New Roman" w:cs="Times New Roman"/>
          <w:sz w:val="24"/>
          <w:szCs w:val="24"/>
        </w:rPr>
        <w:t>.</w:t>
      </w:r>
      <w:r w:rsidRPr="00A81263">
        <w:rPr>
          <w:rFonts w:ascii="Times New Roman" w:hAnsi="Times New Roman" w:cs="Times New Roman"/>
          <w:sz w:val="24"/>
          <w:szCs w:val="24"/>
        </w:rPr>
        <w:t>, and J</w:t>
      </w:r>
      <w:r w:rsidR="00A001C4">
        <w:rPr>
          <w:rFonts w:ascii="Times New Roman" w:hAnsi="Times New Roman" w:cs="Times New Roman"/>
          <w:sz w:val="24"/>
          <w:szCs w:val="24"/>
        </w:rPr>
        <w:t>.</w:t>
      </w:r>
      <w:r w:rsidRPr="00A81263">
        <w:rPr>
          <w:rFonts w:ascii="Times New Roman" w:hAnsi="Times New Roman" w:cs="Times New Roman"/>
          <w:sz w:val="24"/>
          <w:szCs w:val="24"/>
        </w:rPr>
        <w:t xml:space="preserve"> </w:t>
      </w:r>
      <w:proofErr w:type="spellStart"/>
      <w:r w:rsidRPr="00A81263">
        <w:rPr>
          <w:rFonts w:ascii="Times New Roman" w:hAnsi="Times New Roman" w:cs="Times New Roman"/>
          <w:sz w:val="24"/>
          <w:szCs w:val="24"/>
        </w:rPr>
        <w:t>Rauh</w:t>
      </w:r>
      <w:proofErr w:type="spellEnd"/>
      <w:r w:rsidRPr="00A81263">
        <w:rPr>
          <w:rFonts w:ascii="Times New Roman" w:hAnsi="Times New Roman" w:cs="Times New Roman"/>
          <w:sz w:val="24"/>
          <w:szCs w:val="24"/>
        </w:rPr>
        <w:t>.</w:t>
      </w:r>
      <w:proofErr w:type="gramEnd"/>
      <w:r w:rsidRPr="00A81263">
        <w:rPr>
          <w:rFonts w:ascii="Times New Roman" w:hAnsi="Times New Roman" w:cs="Times New Roman"/>
          <w:sz w:val="24"/>
          <w:szCs w:val="24"/>
        </w:rPr>
        <w:t xml:space="preserve"> 2011. </w:t>
      </w:r>
      <w:r w:rsidR="00A001C4" w:rsidRPr="00E31C77">
        <w:rPr>
          <w:rFonts w:ascii="Times New Roman" w:hAnsi="Times New Roman" w:cs="Times New Roman"/>
          <w:sz w:val="24"/>
          <w:szCs w:val="24"/>
        </w:rPr>
        <w:t>"</w:t>
      </w:r>
      <w:r w:rsidRPr="00A81263">
        <w:rPr>
          <w:rFonts w:ascii="Times New Roman" w:hAnsi="Times New Roman" w:cs="Times New Roman"/>
          <w:sz w:val="24"/>
          <w:szCs w:val="24"/>
        </w:rPr>
        <w:t xml:space="preserve">Public Pension Promises: How Big Are They and What Are They Worth?" </w:t>
      </w:r>
      <w:proofErr w:type="gramStart"/>
      <w:r w:rsidRPr="00A81263">
        <w:rPr>
          <w:rFonts w:ascii="Times New Roman" w:hAnsi="Times New Roman" w:cs="Times New Roman"/>
          <w:i/>
          <w:iCs/>
          <w:sz w:val="24"/>
          <w:szCs w:val="24"/>
        </w:rPr>
        <w:t>The Journal of Finance.</w:t>
      </w:r>
      <w:proofErr w:type="gramEnd"/>
      <w:r w:rsidRPr="00A81263">
        <w:rPr>
          <w:rFonts w:ascii="Times New Roman" w:hAnsi="Times New Roman" w:cs="Times New Roman"/>
          <w:sz w:val="24"/>
          <w:szCs w:val="24"/>
        </w:rPr>
        <w:t xml:space="preserve"> 66 (4):1211-1249.</w:t>
      </w:r>
    </w:p>
    <w:p w14:paraId="7EFC25C6" w14:textId="3C85BEFC" w:rsidR="008F3B3E" w:rsidRDefault="008F3B3E" w:rsidP="00CB7D33">
      <w:pPr>
        <w:spacing w:after="0" w:line="240" w:lineRule="auto"/>
        <w:ind w:left="720" w:hanging="720"/>
        <w:contextualSpacing/>
        <w:rPr>
          <w:rFonts w:ascii="Times New Roman" w:hAnsi="Times New Roman" w:cs="Times New Roman"/>
          <w:sz w:val="24"/>
          <w:szCs w:val="24"/>
        </w:rPr>
      </w:pPr>
      <w:r w:rsidRPr="008F3B3E">
        <w:rPr>
          <w:rFonts w:ascii="Times New Roman" w:hAnsi="Times New Roman" w:cs="Times New Roman"/>
          <w:sz w:val="24"/>
          <w:szCs w:val="24"/>
        </w:rPr>
        <w:t xml:space="preserve">Peng, J. 2004. </w:t>
      </w:r>
      <w:r w:rsidR="00CF7A14" w:rsidRPr="00E31C77">
        <w:rPr>
          <w:rFonts w:ascii="Times New Roman" w:hAnsi="Times New Roman" w:cs="Times New Roman"/>
          <w:sz w:val="24"/>
          <w:szCs w:val="24"/>
        </w:rPr>
        <w:t>"</w:t>
      </w:r>
      <w:r w:rsidRPr="008F3B3E">
        <w:rPr>
          <w:rFonts w:ascii="Times New Roman" w:hAnsi="Times New Roman" w:cs="Times New Roman"/>
          <w:sz w:val="24"/>
          <w:szCs w:val="24"/>
        </w:rPr>
        <w:t xml:space="preserve">Public </w:t>
      </w:r>
      <w:r w:rsidR="00CF7A14">
        <w:rPr>
          <w:rFonts w:ascii="Times New Roman" w:hAnsi="Times New Roman" w:cs="Times New Roman"/>
          <w:sz w:val="24"/>
          <w:szCs w:val="24"/>
        </w:rPr>
        <w:t>P</w:t>
      </w:r>
      <w:r w:rsidRPr="008F3B3E">
        <w:rPr>
          <w:rFonts w:ascii="Times New Roman" w:hAnsi="Times New Roman" w:cs="Times New Roman"/>
          <w:sz w:val="24"/>
          <w:szCs w:val="24"/>
        </w:rPr>
        <w:t xml:space="preserve">ension </w:t>
      </w:r>
      <w:r w:rsidR="00CF7A14">
        <w:rPr>
          <w:rFonts w:ascii="Times New Roman" w:hAnsi="Times New Roman" w:cs="Times New Roman"/>
          <w:sz w:val="24"/>
          <w:szCs w:val="24"/>
        </w:rPr>
        <w:t>F</w:t>
      </w:r>
      <w:r w:rsidRPr="008F3B3E">
        <w:rPr>
          <w:rFonts w:ascii="Times New Roman" w:hAnsi="Times New Roman" w:cs="Times New Roman"/>
          <w:sz w:val="24"/>
          <w:szCs w:val="24"/>
        </w:rPr>
        <w:t xml:space="preserve">unds and </w:t>
      </w:r>
      <w:r w:rsidR="00CF7A14">
        <w:rPr>
          <w:rFonts w:ascii="Times New Roman" w:hAnsi="Times New Roman" w:cs="Times New Roman"/>
          <w:sz w:val="24"/>
          <w:szCs w:val="24"/>
        </w:rPr>
        <w:t>O</w:t>
      </w:r>
      <w:r w:rsidRPr="008F3B3E">
        <w:rPr>
          <w:rFonts w:ascii="Times New Roman" w:hAnsi="Times New Roman" w:cs="Times New Roman"/>
          <w:sz w:val="24"/>
          <w:szCs w:val="24"/>
        </w:rPr>
        <w:t xml:space="preserve">perating </w:t>
      </w:r>
      <w:r w:rsidR="00CF7A14">
        <w:rPr>
          <w:rFonts w:ascii="Times New Roman" w:hAnsi="Times New Roman" w:cs="Times New Roman"/>
          <w:sz w:val="24"/>
          <w:szCs w:val="24"/>
        </w:rPr>
        <w:t>B</w:t>
      </w:r>
      <w:r w:rsidRPr="008F3B3E">
        <w:rPr>
          <w:rFonts w:ascii="Times New Roman" w:hAnsi="Times New Roman" w:cs="Times New Roman"/>
          <w:sz w:val="24"/>
          <w:szCs w:val="24"/>
        </w:rPr>
        <w:t xml:space="preserve">udgets: A </w:t>
      </w:r>
      <w:r w:rsidR="00CF7A14">
        <w:rPr>
          <w:rFonts w:ascii="Times New Roman" w:hAnsi="Times New Roman" w:cs="Times New Roman"/>
          <w:sz w:val="24"/>
          <w:szCs w:val="24"/>
        </w:rPr>
        <w:t>T</w:t>
      </w:r>
      <w:r w:rsidRPr="008F3B3E">
        <w:rPr>
          <w:rFonts w:ascii="Times New Roman" w:hAnsi="Times New Roman" w:cs="Times New Roman"/>
          <w:sz w:val="24"/>
          <w:szCs w:val="24"/>
        </w:rPr>
        <w:t xml:space="preserve">ale of </w:t>
      </w:r>
      <w:r w:rsidR="00CF7A14">
        <w:rPr>
          <w:rFonts w:ascii="Times New Roman" w:hAnsi="Times New Roman" w:cs="Times New Roman"/>
          <w:sz w:val="24"/>
          <w:szCs w:val="24"/>
        </w:rPr>
        <w:t>T</w:t>
      </w:r>
      <w:r w:rsidRPr="008F3B3E">
        <w:rPr>
          <w:rFonts w:ascii="Times New Roman" w:hAnsi="Times New Roman" w:cs="Times New Roman"/>
          <w:sz w:val="24"/>
          <w:szCs w:val="24"/>
        </w:rPr>
        <w:t xml:space="preserve">hree </w:t>
      </w:r>
      <w:r w:rsidR="00CF7A14">
        <w:rPr>
          <w:rFonts w:ascii="Times New Roman" w:hAnsi="Times New Roman" w:cs="Times New Roman"/>
          <w:sz w:val="24"/>
          <w:szCs w:val="24"/>
        </w:rPr>
        <w:t>S</w:t>
      </w:r>
      <w:r w:rsidRPr="008F3B3E">
        <w:rPr>
          <w:rFonts w:ascii="Times New Roman" w:hAnsi="Times New Roman" w:cs="Times New Roman"/>
          <w:sz w:val="24"/>
          <w:szCs w:val="24"/>
        </w:rPr>
        <w:t>tates.</w:t>
      </w:r>
      <w:r w:rsidR="00CF7A14" w:rsidRPr="00E31C77">
        <w:rPr>
          <w:rFonts w:ascii="Times New Roman" w:hAnsi="Times New Roman" w:cs="Times New Roman"/>
          <w:sz w:val="24"/>
          <w:szCs w:val="24"/>
        </w:rPr>
        <w:t>"</w:t>
      </w:r>
      <w:r w:rsidRPr="008F3B3E">
        <w:rPr>
          <w:rFonts w:ascii="Times New Roman" w:hAnsi="Times New Roman" w:cs="Times New Roman"/>
          <w:sz w:val="24"/>
          <w:szCs w:val="24"/>
        </w:rPr>
        <w:t xml:space="preserve"> </w:t>
      </w:r>
      <w:r w:rsidRPr="00CF7A14">
        <w:rPr>
          <w:rFonts w:ascii="Times New Roman" w:hAnsi="Times New Roman" w:cs="Times New Roman"/>
          <w:i/>
          <w:sz w:val="24"/>
          <w:szCs w:val="24"/>
        </w:rPr>
        <w:t>Public Budgeting and Finance</w:t>
      </w:r>
      <w:r w:rsidRPr="008F3B3E">
        <w:rPr>
          <w:rFonts w:ascii="Times New Roman" w:hAnsi="Times New Roman" w:cs="Times New Roman"/>
          <w:sz w:val="24"/>
          <w:szCs w:val="24"/>
        </w:rPr>
        <w:t>, 24</w:t>
      </w:r>
      <w:r w:rsidR="00CF7A14">
        <w:rPr>
          <w:rFonts w:ascii="Times New Roman" w:hAnsi="Times New Roman" w:cs="Times New Roman"/>
          <w:sz w:val="24"/>
          <w:szCs w:val="24"/>
        </w:rPr>
        <w:t xml:space="preserve"> </w:t>
      </w:r>
      <w:r w:rsidRPr="008F3B3E">
        <w:rPr>
          <w:rFonts w:ascii="Times New Roman" w:hAnsi="Times New Roman" w:cs="Times New Roman"/>
          <w:sz w:val="24"/>
          <w:szCs w:val="24"/>
        </w:rPr>
        <w:t>(2), 59-73.</w:t>
      </w:r>
    </w:p>
    <w:p w14:paraId="53614D11" w14:textId="39277E22" w:rsidR="004E23B2" w:rsidRPr="00A81263" w:rsidRDefault="009E50D8" w:rsidP="00CB7D33">
      <w:pPr>
        <w:spacing w:after="0" w:line="240" w:lineRule="auto"/>
        <w:ind w:left="720" w:hanging="720"/>
        <w:contextualSpacing/>
        <w:rPr>
          <w:rFonts w:ascii="Times New Roman" w:hAnsi="Times New Roman" w:cs="Times New Roman"/>
          <w:sz w:val="24"/>
          <w:szCs w:val="24"/>
        </w:rPr>
      </w:pPr>
      <w:r w:rsidRPr="00A81263">
        <w:rPr>
          <w:rFonts w:ascii="Times New Roman" w:hAnsi="Times New Roman" w:cs="Times New Roman"/>
          <w:sz w:val="24"/>
          <w:szCs w:val="24"/>
        </w:rPr>
        <w:t>Peng, J. 2008</w:t>
      </w:r>
      <w:r w:rsidR="004E23B2" w:rsidRPr="00A81263">
        <w:rPr>
          <w:rFonts w:ascii="Times New Roman" w:hAnsi="Times New Roman" w:cs="Times New Roman"/>
          <w:sz w:val="24"/>
          <w:szCs w:val="24"/>
        </w:rPr>
        <w:t>. </w:t>
      </w:r>
      <w:proofErr w:type="gramStart"/>
      <w:r w:rsidR="004E23B2" w:rsidRPr="00A81263">
        <w:rPr>
          <w:rFonts w:ascii="Times New Roman" w:hAnsi="Times New Roman" w:cs="Times New Roman"/>
          <w:i/>
          <w:sz w:val="24"/>
          <w:szCs w:val="24"/>
        </w:rPr>
        <w:t>State and Local Pension Fund Management</w:t>
      </w:r>
      <w:r w:rsidR="004E23B2" w:rsidRPr="00A81263">
        <w:rPr>
          <w:rFonts w:ascii="Times New Roman" w:hAnsi="Times New Roman" w:cs="Times New Roman"/>
          <w:sz w:val="24"/>
          <w:szCs w:val="24"/>
        </w:rPr>
        <w:t>.</w:t>
      </w:r>
      <w:proofErr w:type="gramEnd"/>
      <w:r w:rsidR="004E23B2" w:rsidRPr="00A81263">
        <w:rPr>
          <w:rFonts w:ascii="Times New Roman" w:hAnsi="Times New Roman" w:cs="Times New Roman"/>
          <w:sz w:val="24"/>
          <w:szCs w:val="24"/>
        </w:rPr>
        <w:t xml:space="preserve"> Boca Raton, FL: Taylor &amp; Francis Group. </w:t>
      </w:r>
    </w:p>
    <w:p w14:paraId="576A260E" w14:textId="04B55C3E" w:rsidR="008F3B3E" w:rsidRDefault="008F3B3E" w:rsidP="002629C2">
      <w:pPr>
        <w:tabs>
          <w:tab w:val="left" w:pos="450"/>
          <w:tab w:val="left" w:pos="720"/>
        </w:tabs>
        <w:spacing w:after="0" w:line="240" w:lineRule="auto"/>
        <w:ind w:left="720" w:hanging="720"/>
        <w:contextualSpacing/>
        <w:rPr>
          <w:rFonts w:ascii="Times New Roman" w:hAnsi="Times New Roman" w:cs="Times New Roman"/>
          <w:sz w:val="24"/>
          <w:szCs w:val="24"/>
        </w:rPr>
      </w:pPr>
      <w:r w:rsidRPr="008F3B3E">
        <w:rPr>
          <w:rFonts w:ascii="Times New Roman" w:hAnsi="Times New Roman" w:cs="Times New Roman"/>
          <w:sz w:val="24"/>
          <w:szCs w:val="24"/>
        </w:rPr>
        <w:t xml:space="preserve">Petersen, J. E. 2004. </w:t>
      </w:r>
      <w:proofErr w:type="gramStart"/>
      <w:r w:rsidR="00CF7A14" w:rsidRPr="00E31C77">
        <w:rPr>
          <w:rFonts w:ascii="Times New Roman" w:hAnsi="Times New Roman" w:cs="Times New Roman"/>
          <w:sz w:val="24"/>
          <w:szCs w:val="24"/>
        </w:rPr>
        <w:t>"</w:t>
      </w:r>
      <w:r w:rsidRPr="008F3B3E">
        <w:rPr>
          <w:rFonts w:ascii="Times New Roman" w:hAnsi="Times New Roman" w:cs="Times New Roman"/>
          <w:sz w:val="24"/>
          <w:szCs w:val="24"/>
        </w:rPr>
        <w:t xml:space="preserve">Public </w:t>
      </w:r>
      <w:r w:rsidR="00CF7A14">
        <w:rPr>
          <w:rFonts w:ascii="Times New Roman" w:hAnsi="Times New Roman" w:cs="Times New Roman"/>
          <w:sz w:val="24"/>
          <w:szCs w:val="24"/>
        </w:rPr>
        <w:t>E</w:t>
      </w:r>
      <w:r w:rsidRPr="008F3B3E">
        <w:rPr>
          <w:rFonts w:ascii="Times New Roman" w:hAnsi="Times New Roman" w:cs="Times New Roman"/>
          <w:sz w:val="24"/>
          <w:szCs w:val="24"/>
        </w:rPr>
        <w:t xml:space="preserve">mployee </w:t>
      </w:r>
      <w:r w:rsidR="00CF7A14">
        <w:rPr>
          <w:rFonts w:ascii="Times New Roman" w:hAnsi="Times New Roman" w:cs="Times New Roman"/>
          <w:sz w:val="24"/>
          <w:szCs w:val="24"/>
        </w:rPr>
        <w:t>P</w:t>
      </w:r>
      <w:r w:rsidRPr="008F3B3E">
        <w:rPr>
          <w:rFonts w:ascii="Times New Roman" w:hAnsi="Times New Roman" w:cs="Times New Roman"/>
          <w:sz w:val="24"/>
          <w:szCs w:val="24"/>
        </w:rPr>
        <w:t xml:space="preserve">ension </w:t>
      </w:r>
      <w:r w:rsidR="00CF7A14">
        <w:rPr>
          <w:rFonts w:ascii="Times New Roman" w:hAnsi="Times New Roman" w:cs="Times New Roman"/>
          <w:sz w:val="24"/>
          <w:szCs w:val="24"/>
        </w:rPr>
        <w:t>F</w:t>
      </w:r>
      <w:r w:rsidRPr="008F3B3E">
        <w:rPr>
          <w:rFonts w:ascii="Times New Roman" w:hAnsi="Times New Roman" w:cs="Times New Roman"/>
          <w:sz w:val="24"/>
          <w:szCs w:val="24"/>
        </w:rPr>
        <w:t>unds.</w:t>
      </w:r>
      <w:r w:rsidR="00CF7A14" w:rsidRPr="00E31C77">
        <w:rPr>
          <w:rFonts w:ascii="Times New Roman" w:hAnsi="Times New Roman" w:cs="Times New Roman"/>
          <w:sz w:val="24"/>
          <w:szCs w:val="24"/>
        </w:rPr>
        <w:t>"</w:t>
      </w:r>
      <w:proofErr w:type="gramEnd"/>
      <w:r w:rsidRPr="008F3B3E">
        <w:rPr>
          <w:rFonts w:ascii="Times New Roman" w:hAnsi="Times New Roman" w:cs="Times New Roman"/>
          <w:sz w:val="24"/>
          <w:szCs w:val="24"/>
        </w:rPr>
        <w:t xml:space="preserve"> In J. R. Aronson &amp; E. Schwartz (Eds.), </w:t>
      </w:r>
      <w:r w:rsidRPr="00CF7A14">
        <w:rPr>
          <w:rFonts w:ascii="Times New Roman" w:hAnsi="Times New Roman" w:cs="Times New Roman"/>
          <w:i/>
          <w:sz w:val="24"/>
          <w:szCs w:val="24"/>
        </w:rPr>
        <w:t xml:space="preserve">Management </w:t>
      </w:r>
      <w:r w:rsidR="00CF7A14">
        <w:rPr>
          <w:rFonts w:ascii="Times New Roman" w:hAnsi="Times New Roman" w:cs="Times New Roman"/>
          <w:i/>
          <w:sz w:val="24"/>
          <w:szCs w:val="24"/>
        </w:rPr>
        <w:t>P</w:t>
      </w:r>
      <w:r w:rsidRPr="00CF7A14">
        <w:rPr>
          <w:rFonts w:ascii="Times New Roman" w:hAnsi="Times New Roman" w:cs="Times New Roman"/>
          <w:i/>
          <w:sz w:val="24"/>
          <w:szCs w:val="24"/>
        </w:rPr>
        <w:t xml:space="preserve">olicies in </w:t>
      </w:r>
      <w:r w:rsidR="00CF7A14">
        <w:rPr>
          <w:rFonts w:ascii="Times New Roman" w:hAnsi="Times New Roman" w:cs="Times New Roman"/>
          <w:i/>
          <w:sz w:val="24"/>
          <w:szCs w:val="24"/>
        </w:rPr>
        <w:t>L</w:t>
      </w:r>
      <w:r w:rsidRPr="00CF7A14">
        <w:rPr>
          <w:rFonts w:ascii="Times New Roman" w:hAnsi="Times New Roman" w:cs="Times New Roman"/>
          <w:i/>
          <w:sz w:val="24"/>
          <w:szCs w:val="24"/>
        </w:rPr>
        <w:t xml:space="preserve">ocal </w:t>
      </w:r>
      <w:r w:rsidR="00CF7A14">
        <w:rPr>
          <w:rFonts w:ascii="Times New Roman" w:hAnsi="Times New Roman" w:cs="Times New Roman"/>
          <w:i/>
          <w:sz w:val="24"/>
          <w:szCs w:val="24"/>
        </w:rPr>
        <w:t>G</w:t>
      </w:r>
      <w:r w:rsidRPr="00CF7A14">
        <w:rPr>
          <w:rFonts w:ascii="Times New Roman" w:hAnsi="Times New Roman" w:cs="Times New Roman"/>
          <w:i/>
          <w:sz w:val="24"/>
          <w:szCs w:val="24"/>
        </w:rPr>
        <w:t xml:space="preserve">overnment </w:t>
      </w:r>
      <w:r w:rsidR="00CF7A14">
        <w:rPr>
          <w:rFonts w:ascii="Times New Roman" w:hAnsi="Times New Roman" w:cs="Times New Roman"/>
          <w:i/>
          <w:sz w:val="24"/>
          <w:szCs w:val="24"/>
        </w:rPr>
        <w:t>F</w:t>
      </w:r>
      <w:r w:rsidRPr="00CF7A14">
        <w:rPr>
          <w:rFonts w:ascii="Times New Roman" w:hAnsi="Times New Roman" w:cs="Times New Roman"/>
          <w:i/>
          <w:sz w:val="24"/>
          <w:szCs w:val="24"/>
        </w:rPr>
        <w:t>inance</w:t>
      </w:r>
      <w:r w:rsidRPr="008F3B3E">
        <w:rPr>
          <w:rFonts w:ascii="Times New Roman" w:hAnsi="Times New Roman" w:cs="Times New Roman"/>
          <w:sz w:val="24"/>
          <w:szCs w:val="24"/>
        </w:rPr>
        <w:t xml:space="preserve"> (pp. 501-532). Washington, DC: International City/County Management Association</w:t>
      </w:r>
    </w:p>
    <w:p w14:paraId="56D67365" w14:textId="77777777" w:rsidR="004E23B2" w:rsidRPr="00A81263" w:rsidRDefault="004E23B2" w:rsidP="002629C2">
      <w:pPr>
        <w:tabs>
          <w:tab w:val="left" w:pos="450"/>
          <w:tab w:val="left" w:pos="720"/>
        </w:tabs>
        <w:spacing w:after="0" w:line="240" w:lineRule="auto"/>
        <w:ind w:left="720" w:hanging="720"/>
        <w:contextualSpacing/>
        <w:rPr>
          <w:rFonts w:ascii="Times New Roman" w:hAnsi="Times New Roman" w:cs="Times New Roman"/>
          <w:sz w:val="24"/>
          <w:szCs w:val="24"/>
        </w:rPr>
      </w:pPr>
      <w:proofErr w:type="gramStart"/>
      <w:r w:rsidRPr="00A81263">
        <w:rPr>
          <w:rFonts w:ascii="Times New Roman" w:hAnsi="Times New Roman" w:cs="Times New Roman"/>
          <w:sz w:val="24"/>
          <w:szCs w:val="24"/>
        </w:rPr>
        <w:t>Public Plans Database.</w:t>
      </w:r>
      <w:proofErr w:type="gramEnd"/>
      <w:r w:rsidRPr="00A81263">
        <w:rPr>
          <w:rFonts w:ascii="Times New Roman" w:hAnsi="Times New Roman" w:cs="Times New Roman"/>
          <w:sz w:val="24"/>
          <w:szCs w:val="24"/>
        </w:rPr>
        <w:t xml:space="preserve"> </w:t>
      </w:r>
      <w:proofErr w:type="gramStart"/>
      <w:r w:rsidRPr="00A81263">
        <w:rPr>
          <w:rFonts w:ascii="Times New Roman" w:hAnsi="Times New Roman" w:cs="Times New Roman"/>
          <w:sz w:val="24"/>
          <w:szCs w:val="24"/>
        </w:rPr>
        <w:t>2001-2011. Center for Retirement Research at Boston College.</w:t>
      </w:r>
      <w:proofErr w:type="gramEnd"/>
    </w:p>
    <w:p w14:paraId="7C15CAF2" w14:textId="0EB0E57D" w:rsidR="004E23B2" w:rsidRPr="00A81263" w:rsidRDefault="004E23B2" w:rsidP="002629C2">
      <w:pPr>
        <w:tabs>
          <w:tab w:val="left" w:pos="450"/>
          <w:tab w:val="left" w:pos="720"/>
        </w:tabs>
        <w:spacing w:after="0" w:line="240" w:lineRule="auto"/>
        <w:ind w:left="720" w:hanging="720"/>
        <w:contextualSpacing/>
        <w:rPr>
          <w:rFonts w:ascii="Times New Roman" w:hAnsi="Times New Roman" w:cs="Times New Roman"/>
          <w:sz w:val="24"/>
          <w:szCs w:val="24"/>
        </w:rPr>
      </w:pPr>
      <w:r w:rsidRPr="00A81263">
        <w:rPr>
          <w:rFonts w:ascii="Times New Roman" w:hAnsi="Times New Roman" w:cs="Times New Roman"/>
          <w:sz w:val="24"/>
          <w:szCs w:val="24"/>
        </w:rPr>
        <w:t xml:space="preserve">Romano, R. 1993. </w:t>
      </w:r>
      <w:r w:rsidR="00CF7A14" w:rsidRPr="00E31C77">
        <w:rPr>
          <w:rFonts w:ascii="Times New Roman" w:hAnsi="Times New Roman" w:cs="Times New Roman"/>
          <w:sz w:val="24"/>
          <w:szCs w:val="24"/>
        </w:rPr>
        <w:t>"</w:t>
      </w:r>
      <w:r w:rsidRPr="00A81263">
        <w:rPr>
          <w:rFonts w:ascii="Times New Roman" w:hAnsi="Times New Roman" w:cs="Times New Roman"/>
          <w:sz w:val="24"/>
          <w:szCs w:val="24"/>
        </w:rPr>
        <w:t>Public Pension Fund Activism in Corporate Governance Reconsidered.</w:t>
      </w:r>
      <w:r w:rsidR="00CF7A14" w:rsidRPr="00E31C77">
        <w:rPr>
          <w:rFonts w:ascii="Times New Roman" w:hAnsi="Times New Roman" w:cs="Times New Roman"/>
          <w:sz w:val="24"/>
          <w:szCs w:val="24"/>
        </w:rPr>
        <w:t>"</w:t>
      </w:r>
      <w:r w:rsidRPr="00A81263">
        <w:rPr>
          <w:rFonts w:ascii="Times New Roman" w:hAnsi="Times New Roman" w:cs="Times New Roman"/>
          <w:sz w:val="24"/>
          <w:szCs w:val="24"/>
        </w:rPr>
        <w:t xml:space="preserve"> </w:t>
      </w:r>
      <w:proofErr w:type="gramStart"/>
      <w:r w:rsidRPr="00A81263">
        <w:rPr>
          <w:rFonts w:ascii="Times New Roman" w:hAnsi="Times New Roman" w:cs="Times New Roman"/>
          <w:i/>
          <w:iCs/>
          <w:sz w:val="24"/>
          <w:szCs w:val="24"/>
        </w:rPr>
        <w:t>Columbia Law Review.</w:t>
      </w:r>
      <w:proofErr w:type="gramEnd"/>
      <w:r w:rsidRPr="00A81263">
        <w:rPr>
          <w:rFonts w:ascii="Times New Roman" w:hAnsi="Times New Roman" w:cs="Times New Roman"/>
          <w:i/>
          <w:iCs/>
          <w:sz w:val="24"/>
          <w:szCs w:val="24"/>
        </w:rPr>
        <w:t xml:space="preserve"> </w:t>
      </w:r>
      <w:r w:rsidRPr="00A81263">
        <w:rPr>
          <w:rFonts w:ascii="Times New Roman" w:hAnsi="Times New Roman" w:cs="Times New Roman"/>
          <w:iCs/>
          <w:sz w:val="24"/>
          <w:szCs w:val="24"/>
        </w:rPr>
        <w:t>93(</w:t>
      </w:r>
      <w:r w:rsidRPr="00A81263">
        <w:rPr>
          <w:rFonts w:ascii="Times New Roman" w:hAnsi="Times New Roman" w:cs="Times New Roman"/>
          <w:sz w:val="24"/>
          <w:szCs w:val="24"/>
        </w:rPr>
        <w:t>4): 795-853.</w:t>
      </w:r>
    </w:p>
    <w:p w14:paraId="6B179D46" w14:textId="224077A2" w:rsidR="004E23B2" w:rsidRPr="00A81263" w:rsidRDefault="004E23B2" w:rsidP="00F44243">
      <w:pPr>
        <w:spacing w:after="0" w:line="240" w:lineRule="auto"/>
        <w:ind w:left="720" w:hanging="720"/>
        <w:contextualSpacing/>
        <w:rPr>
          <w:rFonts w:ascii="Times New Roman" w:hAnsi="Times New Roman" w:cs="Times New Roman"/>
          <w:sz w:val="24"/>
          <w:szCs w:val="24"/>
        </w:rPr>
      </w:pPr>
      <w:proofErr w:type="gramStart"/>
      <w:r w:rsidRPr="00A81263">
        <w:rPr>
          <w:rFonts w:ascii="Times New Roman" w:hAnsi="Times New Roman" w:cs="Times New Roman"/>
          <w:sz w:val="24"/>
          <w:szCs w:val="24"/>
        </w:rPr>
        <w:t>Schneider, M</w:t>
      </w:r>
      <w:r w:rsidR="00CF7A14">
        <w:rPr>
          <w:rFonts w:ascii="Times New Roman" w:hAnsi="Times New Roman" w:cs="Times New Roman"/>
          <w:sz w:val="24"/>
          <w:szCs w:val="24"/>
        </w:rPr>
        <w:t>.</w:t>
      </w:r>
      <w:r w:rsidRPr="00A81263">
        <w:rPr>
          <w:rFonts w:ascii="Times New Roman" w:hAnsi="Times New Roman" w:cs="Times New Roman"/>
          <w:sz w:val="24"/>
          <w:szCs w:val="24"/>
        </w:rPr>
        <w:t>, and F</w:t>
      </w:r>
      <w:r w:rsidR="00CF7A14">
        <w:rPr>
          <w:rFonts w:ascii="Times New Roman" w:hAnsi="Times New Roman" w:cs="Times New Roman"/>
          <w:sz w:val="24"/>
          <w:szCs w:val="24"/>
        </w:rPr>
        <w:t>.</w:t>
      </w:r>
      <w:r w:rsidRPr="00A81263">
        <w:rPr>
          <w:rFonts w:ascii="Times New Roman" w:hAnsi="Times New Roman" w:cs="Times New Roman"/>
          <w:sz w:val="24"/>
          <w:szCs w:val="24"/>
        </w:rPr>
        <w:t xml:space="preserve"> </w:t>
      </w:r>
      <w:proofErr w:type="spellStart"/>
      <w:r w:rsidRPr="00A81263">
        <w:rPr>
          <w:rFonts w:ascii="Times New Roman" w:hAnsi="Times New Roman" w:cs="Times New Roman"/>
          <w:sz w:val="24"/>
          <w:szCs w:val="24"/>
        </w:rPr>
        <w:t>Damanpour</w:t>
      </w:r>
      <w:proofErr w:type="spellEnd"/>
      <w:r w:rsidRPr="00A81263">
        <w:rPr>
          <w:rFonts w:ascii="Times New Roman" w:hAnsi="Times New Roman" w:cs="Times New Roman"/>
          <w:sz w:val="24"/>
          <w:szCs w:val="24"/>
        </w:rPr>
        <w:t>.</w:t>
      </w:r>
      <w:proofErr w:type="gramEnd"/>
      <w:r w:rsidRPr="00A81263">
        <w:rPr>
          <w:rFonts w:ascii="Times New Roman" w:hAnsi="Times New Roman" w:cs="Times New Roman"/>
          <w:sz w:val="24"/>
          <w:szCs w:val="24"/>
        </w:rPr>
        <w:t xml:space="preserve"> 2002. "Public Choice Economics and Public Pension Plan Funding: An Empirical Test</w:t>
      </w:r>
      <w:r w:rsidR="00CF7A14">
        <w:rPr>
          <w:rFonts w:ascii="Times New Roman" w:hAnsi="Times New Roman" w:cs="Times New Roman"/>
          <w:sz w:val="24"/>
          <w:szCs w:val="24"/>
        </w:rPr>
        <w:t>.</w:t>
      </w:r>
      <w:r w:rsidRPr="00A81263">
        <w:rPr>
          <w:rFonts w:ascii="Times New Roman" w:hAnsi="Times New Roman" w:cs="Times New Roman"/>
          <w:sz w:val="24"/>
          <w:szCs w:val="24"/>
        </w:rPr>
        <w:t>" </w:t>
      </w:r>
      <w:proofErr w:type="gramStart"/>
      <w:r w:rsidRPr="00A81263">
        <w:rPr>
          <w:rFonts w:ascii="Times New Roman" w:hAnsi="Times New Roman" w:cs="Times New Roman"/>
          <w:i/>
          <w:iCs/>
          <w:sz w:val="24"/>
          <w:szCs w:val="24"/>
        </w:rPr>
        <w:t>Administration &amp; Society.</w:t>
      </w:r>
      <w:proofErr w:type="gramEnd"/>
      <w:r w:rsidRPr="00A81263">
        <w:rPr>
          <w:rFonts w:ascii="Times New Roman" w:hAnsi="Times New Roman" w:cs="Times New Roman"/>
          <w:i/>
          <w:iCs/>
          <w:sz w:val="24"/>
          <w:szCs w:val="24"/>
        </w:rPr>
        <w:t> </w:t>
      </w:r>
      <w:r w:rsidRPr="00A81263">
        <w:rPr>
          <w:rFonts w:ascii="Times New Roman" w:hAnsi="Times New Roman" w:cs="Times New Roman"/>
          <w:sz w:val="24"/>
          <w:szCs w:val="24"/>
        </w:rPr>
        <w:t>34 (1): 57-86.</w:t>
      </w:r>
    </w:p>
    <w:p w14:paraId="03F96DE9" w14:textId="6CC1F9BB" w:rsidR="004E23B2" w:rsidRPr="00A81263" w:rsidRDefault="004E23B2" w:rsidP="002946C7">
      <w:pPr>
        <w:spacing w:after="0" w:line="240" w:lineRule="auto"/>
        <w:ind w:left="720" w:hanging="720"/>
        <w:contextualSpacing/>
        <w:rPr>
          <w:rFonts w:ascii="Times New Roman" w:hAnsi="Times New Roman" w:cs="Times New Roman"/>
          <w:sz w:val="24"/>
          <w:szCs w:val="24"/>
        </w:rPr>
      </w:pPr>
      <w:proofErr w:type="gramStart"/>
      <w:r w:rsidRPr="00A81263">
        <w:rPr>
          <w:rFonts w:ascii="Times New Roman" w:hAnsi="Times New Roman" w:cs="Times New Roman"/>
          <w:sz w:val="24"/>
          <w:szCs w:val="24"/>
        </w:rPr>
        <w:t>Teachers’ Retirement System of the State of Illinois (Illinois TRS).</w:t>
      </w:r>
      <w:proofErr w:type="gramEnd"/>
      <w:r w:rsidRPr="00A81263">
        <w:rPr>
          <w:rFonts w:ascii="Times New Roman" w:hAnsi="Times New Roman" w:cs="Times New Roman"/>
          <w:sz w:val="24"/>
          <w:szCs w:val="24"/>
        </w:rPr>
        <w:t xml:space="preserve"> 2013. </w:t>
      </w:r>
      <w:r w:rsidRPr="00A81263">
        <w:rPr>
          <w:rFonts w:ascii="Times New Roman" w:hAnsi="Times New Roman" w:cs="Times New Roman"/>
          <w:i/>
          <w:sz w:val="24"/>
          <w:szCs w:val="24"/>
        </w:rPr>
        <w:t>Comprehensive Annual Financial Report</w:t>
      </w:r>
      <w:r w:rsidRPr="00A81263">
        <w:rPr>
          <w:rFonts w:ascii="Times New Roman" w:hAnsi="Times New Roman" w:cs="Times New Roman"/>
          <w:sz w:val="24"/>
          <w:szCs w:val="24"/>
        </w:rPr>
        <w:t xml:space="preserve">. </w:t>
      </w:r>
      <w:proofErr w:type="gramStart"/>
      <w:r w:rsidRPr="00A81263">
        <w:rPr>
          <w:rFonts w:ascii="Times New Roman" w:hAnsi="Times New Roman" w:cs="Times New Roman"/>
          <w:sz w:val="24"/>
          <w:szCs w:val="24"/>
        </w:rPr>
        <w:t xml:space="preserve">Accessed </w:t>
      </w:r>
      <w:r w:rsidR="00234634">
        <w:rPr>
          <w:rFonts w:ascii="Times New Roman" w:hAnsi="Times New Roman" w:cs="Times New Roman"/>
          <w:sz w:val="24"/>
          <w:szCs w:val="24"/>
        </w:rPr>
        <w:t>January 14, 2015</w:t>
      </w:r>
      <w:r w:rsidRPr="00A81263">
        <w:rPr>
          <w:rFonts w:ascii="Times New Roman" w:hAnsi="Times New Roman" w:cs="Times New Roman"/>
          <w:sz w:val="24"/>
          <w:szCs w:val="24"/>
        </w:rPr>
        <w:t xml:space="preserve">, </w:t>
      </w:r>
      <w:hyperlink r:id="rId20" w:history="1">
        <w:r w:rsidRPr="00A81263">
          <w:rPr>
            <w:rStyle w:val="Hyperlink"/>
            <w:rFonts w:ascii="Times New Roman" w:hAnsi="Times New Roman" w:cs="Times New Roman"/>
            <w:sz w:val="24"/>
            <w:szCs w:val="24"/>
          </w:rPr>
          <w:t>http://trs.illinois.gov/pubs/cafr/FY2013/fy13.pdf</w:t>
        </w:r>
      </w:hyperlink>
      <w:r w:rsidRPr="00A81263">
        <w:rPr>
          <w:rFonts w:ascii="Times New Roman" w:hAnsi="Times New Roman" w:cs="Times New Roman"/>
          <w:sz w:val="24"/>
          <w:szCs w:val="24"/>
        </w:rPr>
        <w:t>.</w:t>
      </w:r>
      <w:proofErr w:type="gramEnd"/>
    </w:p>
    <w:p w14:paraId="12FA3147" w14:textId="68966FBF" w:rsidR="004E23B2" w:rsidRPr="00A81263" w:rsidRDefault="004E23B2" w:rsidP="002629C2">
      <w:pPr>
        <w:spacing w:after="0" w:line="240" w:lineRule="auto"/>
        <w:ind w:left="720" w:hanging="720"/>
        <w:contextualSpacing/>
        <w:rPr>
          <w:rFonts w:ascii="Times New Roman" w:hAnsi="Times New Roman" w:cs="Times New Roman"/>
          <w:sz w:val="24"/>
          <w:szCs w:val="24"/>
        </w:rPr>
      </w:pPr>
      <w:r w:rsidRPr="00A81263">
        <w:rPr>
          <w:rFonts w:ascii="Times New Roman" w:hAnsi="Times New Roman" w:cs="Times New Roman"/>
          <w:sz w:val="24"/>
          <w:szCs w:val="24"/>
        </w:rPr>
        <w:t xml:space="preserve">The Pew Center on the States (Pew). 2012. </w:t>
      </w:r>
      <w:r w:rsidRPr="00A81263">
        <w:rPr>
          <w:rFonts w:ascii="Times New Roman" w:hAnsi="Times New Roman" w:cs="Times New Roman"/>
          <w:i/>
          <w:sz w:val="24"/>
          <w:szCs w:val="24"/>
        </w:rPr>
        <w:t>The Widening Gap Update</w:t>
      </w:r>
      <w:r w:rsidRPr="00A81263">
        <w:rPr>
          <w:rFonts w:ascii="Times New Roman" w:hAnsi="Times New Roman" w:cs="Times New Roman"/>
          <w:sz w:val="24"/>
          <w:szCs w:val="24"/>
        </w:rPr>
        <w:t xml:space="preserve">. </w:t>
      </w:r>
      <w:proofErr w:type="gramStart"/>
      <w:r w:rsidRPr="00A81263">
        <w:rPr>
          <w:rFonts w:ascii="Times New Roman" w:hAnsi="Times New Roman" w:cs="Times New Roman"/>
          <w:sz w:val="24"/>
          <w:szCs w:val="24"/>
        </w:rPr>
        <w:t xml:space="preserve">Accessed </w:t>
      </w:r>
      <w:r w:rsidR="00234634">
        <w:rPr>
          <w:rFonts w:ascii="Times New Roman" w:hAnsi="Times New Roman" w:cs="Times New Roman"/>
          <w:sz w:val="24"/>
          <w:szCs w:val="24"/>
        </w:rPr>
        <w:t>January 14, 2015</w:t>
      </w:r>
      <w:r w:rsidRPr="00A81263">
        <w:rPr>
          <w:rFonts w:ascii="Times New Roman" w:hAnsi="Times New Roman" w:cs="Times New Roman"/>
          <w:sz w:val="24"/>
          <w:szCs w:val="24"/>
        </w:rPr>
        <w:t xml:space="preserve">, </w:t>
      </w:r>
      <w:hyperlink r:id="rId21" w:history="1">
        <w:r w:rsidRPr="00A81263">
          <w:rPr>
            <w:rStyle w:val="Hyperlink"/>
            <w:rFonts w:ascii="Times New Roman" w:hAnsi="Times New Roman" w:cs="Times New Roman"/>
            <w:sz w:val="24"/>
            <w:szCs w:val="24"/>
          </w:rPr>
          <w:t>http://www.pewtrusts.org/~/media/legacy/uploadedfiles/pcs_assets/2012/PewPensionsUpdatepdf.pdf</w:t>
        </w:r>
      </w:hyperlink>
      <w:r w:rsidRPr="00A81263">
        <w:rPr>
          <w:rFonts w:ascii="Times New Roman" w:hAnsi="Times New Roman" w:cs="Times New Roman"/>
          <w:sz w:val="24"/>
          <w:szCs w:val="24"/>
        </w:rPr>
        <w:t>.</w:t>
      </w:r>
      <w:proofErr w:type="gramEnd"/>
    </w:p>
    <w:p w14:paraId="23413C06" w14:textId="6E49D31E" w:rsidR="004E23B2" w:rsidRPr="00A81263" w:rsidRDefault="004E23B2" w:rsidP="006B53B6">
      <w:pPr>
        <w:spacing w:after="0" w:line="240" w:lineRule="auto"/>
        <w:ind w:left="720" w:hanging="720"/>
        <w:contextualSpacing/>
        <w:rPr>
          <w:rFonts w:ascii="Times New Roman" w:hAnsi="Times New Roman" w:cs="Times New Roman"/>
          <w:sz w:val="24"/>
          <w:szCs w:val="24"/>
        </w:rPr>
      </w:pPr>
      <w:r w:rsidRPr="00A81263">
        <w:rPr>
          <w:rFonts w:ascii="Times New Roman" w:hAnsi="Times New Roman" w:cs="Times New Roman"/>
          <w:sz w:val="24"/>
          <w:szCs w:val="24"/>
        </w:rPr>
        <w:t>U.S. Congress. 1978. </w:t>
      </w:r>
      <w:r w:rsidRPr="00A81263">
        <w:rPr>
          <w:rFonts w:ascii="Times New Roman" w:hAnsi="Times New Roman" w:cs="Times New Roman"/>
          <w:i/>
          <w:iCs/>
          <w:sz w:val="24"/>
          <w:szCs w:val="24"/>
        </w:rPr>
        <w:t>Pension Task Force report on public employee retirement systems</w:t>
      </w:r>
      <w:r w:rsidRPr="00A81263">
        <w:rPr>
          <w:rFonts w:ascii="Times New Roman" w:hAnsi="Times New Roman" w:cs="Times New Roman"/>
          <w:sz w:val="24"/>
          <w:szCs w:val="24"/>
        </w:rPr>
        <w:t xml:space="preserve">. </w:t>
      </w:r>
      <w:proofErr w:type="gramStart"/>
      <w:r w:rsidRPr="00A81263">
        <w:rPr>
          <w:rFonts w:ascii="Times New Roman" w:hAnsi="Times New Roman" w:cs="Times New Roman"/>
          <w:sz w:val="24"/>
          <w:szCs w:val="24"/>
        </w:rPr>
        <w:t>95</w:t>
      </w:r>
      <w:r w:rsidRPr="00A81263">
        <w:rPr>
          <w:rFonts w:ascii="Times New Roman" w:hAnsi="Times New Roman" w:cs="Times New Roman"/>
          <w:sz w:val="24"/>
          <w:szCs w:val="24"/>
          <w:vertAlign w:val="superscript"/>
        </w:rPr>
        <w:t>th</w:t>
      </w:r>
      <w:r w:rsidRPr="00A81263">
        <w:rPr>
          <w:rFonts w:ascii="Times New Roman" w:hAnsi="Times New Roman" w:cs="Times New Roman"/>
          <w:sz w:val="24"/>
          <w:szCs w:val="24"/>
        </w:rPr>
        <w:t xml:space="preserve">  Cong</w:t>
      </w:r>
      <w:proofErr w:type="gramEnd"/>
      <w:r w:rsidRPr="00A81263">
        <w:rPr>
          <w:rFonts w:ascii="Times New Roman" w:hAnsi="Times New Roman" w:cs="Times New Roman"/>
          <w:sz w:val="24"/>
          <w:szCs w:val="24"/>
        </w:rPr>
        <w:t>., 2</w:t>
      </w:r>
      <w:r w:rsidRPr="00A81263">
        <w:rPr>
          <w:rFonts w:ascii="Times New Roman" w:hAnsi="Times New Roman" w:cs="Times New Roman"/>
          <w:sz w:val="24"/>
          <w:szCs w:val="24"/>
          <w:vertAlign w:val="superscript"/>
        </w:rPr>
        <w:t>nd</w:t>
      </w:r>
      <w:r w:rsidRPr="00A81263">
        <w:rPr>
          <w:rFonts w:ascii="Times New Roman" w:hAnsi="Times New Roman" w:cs="Times New Roman"/>
          <w:sz w:val="24"/>
          <w:szCs w:val="24"/>
        </w:rPr>
        <w:t xml:space="preserve"> sess., 15 March, 1978. Accessed </w:t>
      </w:r>
      <w:r w:rsidR="00234634">
        <w:rPr>
          <w:rFonts w:ascii="Times New Roman" w:hAnsi="Times New Roman" w:cs="Times New Roman"/>
          <w:sz w:val="24"/>
          <w:szCs w:val="24"/>
        </w:rPr>
        <w:t>January 14, 2015</w:t>
      </w:r>
      <w:r w:rsidRPr="00A81263">
        <w:rPr>
          <w:rFonts w:ascii="Times New Roman" w:hAnsi="Times New Roman" w:cs="Times New Roman"/>
          <w:sz w:val="24"/>
          <w:szCs w:val="24"/>
        </w:rPr>
        <w:t xml:space="preserve">, </w:t>
      </w:r>
      <w:hyperlink r:id="rId22" w:history="1">
        <w:r w:rsidRPr="00A81263">
          <w:rPr>
            <w:rStyle w:val="Hyperlink"/>
            <w:rFonts w:ascii="Times New Roman" w:hAnsi="Times New Roman" w:cs="Times New Roman"/>
            <w:sz w:val="24"/>
            <w:szCs w:val="24"/>
          </w:rPr>
          <w:t>https://archive.org/details/pensioce00unit</w:t>
        </w:r>
      </w:hyperlink>
    </w:p>
    <w:p w14:paraId="68AC2FB2" w14:textId="3DF3BCF5" w:rsidR="0097380B" w:rsidRDefault="0097380B" w:rsidP="004E23B2">
      <w:pPr>
        <w:spacing w:after="0" w:line="240" w:lineRule="auto"/>
        <w:ind w:left="720" w:hanging="720"/>
        <w:contextualSpacing/>
        <w:rPr>
          <w:rFonts w:ascii="Times New Roman" w:hAnsi="Times New Roman" w:cs="Times New Roman"/>
          <w:sz w:val="24"/>
          <w:szCs w:val="24"/>
        </w:rPr>
      </w:pPr>
      <w:proofErr w:type="spellStart"/>
      <w:r w:rsidRPr="00A81263">
        <w:rPr>
          <w:rFonts w:ascii="Times New Roman" w:hAnsi="Times New Roman" w:cs="Times New Roman"/>
          <w:sz w:val="24"/>
          <w:szCs w:val="24"/>
        </w:rPr>
        <w:t>Winklevoss</w:t>
      </w:r>
      <w:proofErr w:type="spellEnd"/>
      <w:r w:rsidRPr="00A81263">
        <w:rPr>
          <w:rFonts w:ascii="Times New Roman" w:hAnsi="Times New Roman" w:cs="Times New Roman"/>
          <w:sz w:val="24"/>
          <w:szCs w:val="24"/>
        </w:rPr>
        <w:t xml:space="preserve">, H. E. </w:t>
      </w:r>
      <w:r w:rsidRPr="0097380B">
        <w:rPr>
          <w:rFonts w:ascii="Times New Roman" w:hAnsi="Times New Roman" w:cs="Times New Roman" w:hint="eastAsia"/>
          <w:sz w:val="24"/>
          <w:szCs w:val="24"/>
        </w:rPr>
        <w:t>1982. "Plasm: Pension Liability and Asset Simulation Model</w:t>
      </w:r>
      <w:r w:rsidR="00CF7A14">
        <w:rPr>
          <w:rFonts w:ascii="Times New Roman" w:hAnsi="Times New Roman" w:cs="Times New Roman"/>
          <w:sz w:val="24"/>
          <w:szCs w:val="24"/>
        </w:rPr>
        <w:t>.</w:t>
      </w:r>
      <w:r w:rsidRPr="0097380B">
        <w:rPr>
          <w:rFonts w:ascii="Times New Roman" w:hAnsi="Times New Roman" w:cs="Times New Roman" w:hint="eastAsia"/>
          <w:sz w:val="24"/>
          <w:szCs w:val="24"/>
        </w:rPr>
        <w:t>" </w:t>
      </w:r>
      <w:proofErr w:type="gramStart"/>
      <w:r w:rsidRPr="0097380B">
        <w:rPr>
          <w:rFonts w:ascii="Times New Roman" w:hAnsi="Times New Roman" w:cs="Times New Roman" w:hint="eastAsia"/>
          <w:i/>
          <w:iCs/>
          <w:sz w:val="24"/>
          <w:szCs w:val="24"/>
        </w:rPr>
        <w:t>The Journal of Finance.</w:t>
      </w:r>
      <w:proofErr w:type="gramEnd"/>
      <w:r w:rsidRPr="0097380B">
        <w:rPr>
          <w:rFonts w:ascii="Times New Roman" w:hAnsi="Times New Roman" w:cs="Times New Roman" w:hint="eastAsia"/>
          <w:i/>
          <w:iCs/>
          <w:sz w:val="24"/>
          <w:szCs w:val="24"/>
        </w:rPr>
        <w:t> </w:t>
      </w:r>
      <w:r w:rsidRPr="0097380B">
        <w:rPr>
          <w:rFonts w:ascii="Times New Roman" w:hAnsi="Times New Roman" w:cs="Times New Roman" w:hint="eastAsia"/>
          <w:sz w:val="24"/>
          <w:szCs w:val="24"/>
        </w:rPr>
        <w:t>37 (2): 585-594.</w:t>
      </w:r>
    </w:p>
    <w:p w14:paraId="3BA66CE0" w14:textId="301C7D00" w:rsidR="004E23B2" w:rsidRPr="00A81263" w:rsidRDefault="004E23B2" w:rsidP="004E23B2">
      <w:pPr>
        <w:spacing w:after="0" w:line="240" w:lineRule="auto"/>
        <w:ind w:left="720" w:hanging="720"/>
        <w:contextualSpacing/>
        <w:rPr>
          <w:rFonts w:ascii="Times New Roman" w:hAnsi="Times New Roman" w:cs="Times New Roman"/>
          <w:vanish/>
          <w:sz w:val="24"/>
          <w:szCs w:val="24"/>
        </w:rPr>
      </w:pPr>
      <w:proofErr w:type="spellStart"/>
      <w:r w:rsidRPr="00A81263">
        <w:rPr>
          <w:rFonts w:ascii="Times New Roman" w:hAnsi="Times New Roman" w:cs="Times New Roman"/>
          <w:sz w:val="24"/>
          <w:szCs w:val="24"/>
        </w:rPr>
        <w:t>Winklevoss</w:t>
      </w:r>
      <w:proofErr w:type="spellEnd"/>
      <w:r w:rsidRPr="00A81263">
        <w:rPr>
          <w:rFonts w:ascii="Times New Roman" w:hAnsi="Times New Roman" w:cs="Times New Roman"/>
          <w:sz w:val="24"/>
          <w:szCs w:val="24"/>
        </w:rPr>
        <w:t>, H. E. 1993. </w:t>
      </w:r>
      <w:proofErr w:type="gramStart"/>
      <w:r w:rsidRPr="00A81263">
        <w:rPr>
          <w:rFonts w:ascii="Times New Roman" w:hAnsi="Times New Roman" w:cs="Times New Roman"/>
          <w:i/>
          <w:iCs/>
          <w:sz w:val="24"/>
          <w:szCs w:val="24"/>
        </w:rPr>
        <w:t xml:space="preserve">Pension </w:t>
      </w:r>
      <w:r w:rsidR="00CF7A14">
        <w:rPr>
          <w:rFonts w:ascii="Times New Roman" w:hAnsi="Times New Roman" w:cs="Times New Roman"/>
          <w:i/>
          <w:iCs/>
          <w:sz w:val="24"/>
          <w:szCs w:val="24"/>
        </w:rPr>
        <w:t>M</w:t>
      </w:r>
      <w:r w:rsidRPr="00A81263">
        <w:rPr>
          <w:rFonts w:ascii="Times New Roman" w:hAnsi="Times New Roman" w:cs="Times New Roman"/>
          <w:i/>
          <w:iCs/>
          <w:sz w:val="24"/>
          <w:szCs w:val="24"/>
        </w:rPr>
        <w:t xml:space="preserve">athematics with </w:t>
      </w:r>
      <w:r w:rsidR="00CF7A14">
        <w:rPr>
          <w:rFonts w:ascii="Times New Roman" w:hAnsi="Times New Roman" w:cs="Times New Roman"/>
          <w:i/>
          <w:iCs/>
          <w:sz w:val="24"/>
          <w:szCs w:val="24"/>
        </w:rPr>
        <w:t>N</w:t>
      </w:r>
      <w:r w:rsidRPr="00A81263">
        <w:rPr>
          <w:rFonts w:ascii="Times New Roman" w:hAnsi="Times New Roman" w:cs="Times New Roman"/>
          <w:i/>
          <w:iCs/>
          <w:sz w:val="24"/>
          <w:szCs w:val="24"/>
        </w:rPr>
        <w:t xml:space="preserve">umerical </w:t>
      </w:r>
      <w:r w:rsidR="00CF7A14">
        <w:rPr>
          <w:rFonts w:ascii="Times New Roman" w:hAnsi="Times New Roman" w:cs="Times New Roman"/>
          <w:i/>
          <w:iCs/>
          <w:sz w:val="24"/>
          <w:szCs w:val="24"/>
        </w:rPr>
        <w:t>I</w:t>
      </w:r>
      <w:r w:rsidRPr="00A81263">
        <w:rPr>
          <w:rFonts w:ascii="Times New Roman" w:hAnsi="Times New Roman" w:cs="Times New Roman"/>
          <w:i/>
          <w:iCs/>
          <w:sz w:val="24"/>
          <w:szCs w:val="24"/>
        </w:rPr>
        <w:t>llustrations</w:t>
      </w:r>
      <w:r w:rsidRPr="00A81263">
        <w:rPr>
          <w:rFonts w:ascii="Times New Roman" w:hAnsi="Times New Roman" w:cs="Times New Roman"/>
          <w:sz w:val="24"/>
          <w:szCs w:val="24"/>
        </w:rPr>
        <w:t>.</w:t>
      </w:r>
      <w:proofErr w:type="gramEnd"/>
      <w:r w:rsidRPr="00A81263">
        <w:rPr>
          <w:rFonts w:ascii="Times New Roman" w:hAnsi="Times New Roman" w:cs="Times New Roman"/>
          <w:sz w:val="24"/>
          <w:szCs w:val="24"/>
        </w:rPr>
        <w:t xml:space="preserve"> Philadelphia, PA: Pension Research Council.</w:t>
      </w:r>
      <w:r w:rsidRPr="00A81263">
        <w:rPr>
          <w:rFonts w:ascii="Times New Roman" w:hAnsi="Times New Roman" w:cs="Times New Roman"/>
          <w:vanish/>
          <w:sz w:val="24"/>
          <w:szCs w:val="24"/>
        </w:rPr>
        <w:t>Bottom of Form</w:t>
      </w:r>
    </w:p>
    <w:p w14:paraId="37F999F2" w14:textId="77777777" w:rsidR="002629C2" w:rsidRPr="00A81263" w:rsidRDefault="002629C2" w:rsidP="002629C2">
      <w:pPr>
        <w:spacing w:after="0" w:line="240" w:lineRule="auto"/>
        <w:ind w:left="720" w:hanging="720"/>
        <w:contextualSpacing/>
        <w:rPr>
          <w:rFonts w:ascii="Times New Roman" w:hAnsi="Times New Roman" w:cs="Times New Roman"/>
          <w:sz w:val="24"/>
          <w:szCs w:val="24"/>
        </w:rPr>
      </w:pPr>
    </w:p>
    <w:p w14:paraId="2249954F" w14:textId="77777777" w:rsidR="002629C2" w:rsidRDefault="002629C2">
      <w:pPr>
        <w:rPr>
          <w:rFonts w:ascii="Times New Roman" w:hAnsi="Times New Roman" w:cs="Times New Roman"/>
          <w:sz w:val="24"/>
          <w:szCs w:val="24"/>
        </w:rPr>
      </w:pPr>
      <w:r>
        <w:rPr>
          <w:rFonts w:ascii="Times New Roman" w:hAnsi="Times New Roman" w:cs="Times New Roman"/>
          <w:sz w:val="24"/>
          <w:szCs w:val="24"/>
        </w:rPr>
        <w:br w:type="page"/>
      </w:r>
    </w:p>
    <w:p w14:paraId="3DE7D219" w14:textId="4614F588" w:rsidR="002629C2" w:rsidRPr="00BD702E" w:rsidRDefault="00BD702E" w:rsidP="00BD702E">
      <w:pPr>
        <w:spacing w:after="0" w:line="480" w:lineRule="auto"/>
        <w:contextualSpacing/>
        <w:rPr>
          <w:rFonts w:ascii="Times New Roman" w:hAnsi="Times New Roman" w:cs="Times New Roman"/>
          <w:sz w:val="28"/>
          <w:szCs w:val="24"/>
        </w:rPr>
      </w:pPr>
      <w:r w:rsidRPr="00BD702E">
        <w:rPr>
          <w:rFonts w:ascii="Times New Roman" w:hAnsi="Times New Roman" w:cs="Times New Roman"/>
          <w:sz w:val="28"/>
          <w:szCs w:val="24"/>
        </w:rPr>
        <w:lastRenderedPageBreak/>
        <w:t>Appendix</w:t>
      </w:r>
    </w:p>
    <w:p w14:paraId="7BF1C9E4" w14:textId="6E6B60FA" w:rsidR="002629C2" w:rsidRPr="00B70B1A" w:rsidRDefault="00764310" w:rsidP="002629C2">
      <w:pPr>
        <w:spacing w:after="0" w:line="240" w:lineRule="auto"/>
        <w:contextualSpacing/>
        <w:rPr>
          <w:rFonts w:ascii="Times New Roman" w:hAnsi="Times New Roman" w:cs="Times New Roman"/>
          <w:sz w:val="24"/>
          <w:szCs w:val="24"/>
        </w:rPr>
      </w:pPr>
      <w:r w:rsidRPr="00B70B1A">
        <w:rPr>
          <w:rFonts w:ascii="Times New Roman" w:hAnsi="Times New Roman" w:cs="Times New Roman"/>
          <w:sz w:val="24"/>
          <w:szCs w:val="24"/>
        </w:rPr>
        <w:t>N</w:t>
      </w:r>
      <w:r w:rsidR="002629C2" w:rsidRPr="00B70B1A">
        <w:rPr>
          <w:rFonts w:ascii="Times New Roman" w:hAnsi="Times New Roman" w:cs="Times New Roman"/>
          <w:sz w:val="24"/>
          <w:szCs w:val="24"/>
        </w:rPr>
        <w:t>ormal costs (NC), accru</w:t>
      </w:r>
      <w:r w:rsidRPr="00B70B1A">
        <w:rPr>
          <w:rFonts w:ascii="Times New Roman" w:hAnsi="Times New Roman" w:cs="Times New Roman"/>
          <w:sz w:val="24"/>
          <w:szCs w:val="24"/>
        </w:rPr>
        <w:t>ed</w:t>
      </w:r>
      <w:r w:rsidR="002629C2" w:rsidRPr="00B70B1A">
        <w:rPr>
          <w:rFonts w:ascii="Times New Roman" w:hAnsi="Times New Roman" w:cs="Times New Roman"/>
          <w:sz w:val="24"/>
          <w:szCs w:val="24"/>
        </w:rPr>
        <w:t xml:space="preserve"> actuarial liabilities (AAL), funding ratios, and annual required contributions (ARC), under different actuarial cost methods</w:t>
      </w:r>
      <w:r w:rsidRPr="00B70B1A">
        <w:rPr>
          <w:rFonts w:ascii="Times New Roman" w:hAnsi="Times New Roman" w:cs="Times New Roman"/>
          <w:sz w:val="24"/>
          <w:szCs w:val="24"/>
        </w:rPr>
        <w:t xml:space="preserve">, </w:t>
      </w:r>
      <w:r w:rsidR="002629C2" w:rsidRPr="00B70B1A">
        <w:rPr>
          <w:rFonts w:ascii="Times New Roman" w:hAnsi="Times New Roman" w:cs="Times New Roman"/>
          <w:sz w:val="24"/>
          <w:szCs w:val="24"/>
        </w:rPr>
        <w:t>are calculated by the following formulas:</w:t>
      </w:r>
    </w:p>
    <w:p w14:paraId="2874542D" w14:textId="77777777" w:rsidR="00764310" w:rsidRPr="00B70B1A" w:rsidRDefault="00764310" w:rsidP="002629C2">
      <w:pPr>
        <w:spacing w:after="0" w:line="240" w:lineRule="auto"/>
        <w:contextualSpacing/>
        <w:rPr>
          <w:rFonts w:ascii="Times New Roman" w:hAnsi="Times New Roman" w:cs="Times New Roman"/>
          <w:sz w:val="24"/>
          <w:szCs w:val="24"/>
        </w:rPr>
      </w:pPr>
    </w:p>
    <w:p w14:paraId="464CC361" w14:textId="77777777" w:rsidR="002629C2" w:rsidRPr="00B70B1A" w:rsidRDefault="008E21C0" w:rsidP="002629C2">
      <w:pPr>
        <w:spacing w:after="0" w:line="240" w:lineRule="auto"/>
        <w:contextualSpacing/>
        <w:jc w:val="center"/>
        <w:rPr>
          <w:rFonts w:ascii="Times New Roman" w:hAnsi="Times New Roman" w:cs="Times New Roman"/>
          <w:sz w:val="24"/>
          <w:szCs w:val="24"/>
        </w:rPr>
      </w:pPr>
      <m:oMathPara>
        <m:oMath>
          <m:sPre>
            <m:sPrePr>
              <m:ctrlPr>
                <w:rPr>
                  <w:rFonts w:ascii="Cambria Math" w:hAnsi="Cambria Math" w:cs="Times New Roman"/>
                  <w:i/>
                  <w:sz w:val="24"/>
                  <w:szCs w:val="24"/>
                </w:rPr>
              </m:ctrlPr>
            </m:sPrePr>
            <m:sub>
              <m:r>
                <w:rPr>
                  <w:rFonts w:ascii="Cambria Math" w:hAnsi="Cambria Math" w:cs="Times New Roman"/>
                  <w:sz w:val="24"/>
                  <w:szCs w:val="24"/>
                </w:rPr>
                <m:t xml:space="preserve"> </m:t>
              </m:r>
            </m:sub>
            <m:sup>
              <m:r>
                <w:rPr>
                  <w:rFonts w:ascii="Cambria Math" w:hAnsi="Cambria Math" w:cs="Times New Roman"/>
                  <w:sz w:val="24"/>
                  <w:szCs w:val="24"/>
                </w:rPr>
                <m:t>r</m:t>
              </m:r>
            </m:sup>
            <m:e>
              <m:sSubSup>
                <m:sSubSupPr>
                  <m:ctrlPr>
                    <w:rPr>
                      <w:rFonts w:ascii="Cambria Math" w:hAnsi="Cambria Math" w:cs="Times New Roman"/>
                      <w:i/>
                      <w:sz w:val="24"/>
                      <w:szCs w:val="24"/>
                    </w:rPr>
                  </m:ctrlPr>
                </m:sSubSupPr>
                <m:e>
                  <m:r>
                    <w:rPr>
                      <w:rFonts w:ascii="Cambria Math" w:hAnsi="Cambria Math" w:cs="Times New Roman"/>
                      <w:sz w:val="24"/>
                      <w:szCs w:val="24"/>
                    </w:rPr>
                    <m:t>(NC)</m:t>
                  </m:r>
                </m:e>
                <m:sub>
                  <m:r>
                    <w:rPr>
                      <w:rFonts w:ascii="Cambria Math" w:hAnsi="Cambria Math" w:cs="Times New Roman"/>
                      <w:sz w:val="24"/>
                      <w:szCs w:val="24"/>
                    </w:rPr>
                    <m:t>x</m:t>
                  </m:r>
                </m:sub>
                <m:sup>
                  <m:r>
                    <w:rPr>
                      <w:rFonts w:ascii="Cambria Math" w:hAnsi="Cambria Math" w:cs="Times New Roman"/>
                      <w:sz w:val="24"/>
                      <w:szCs w:val="24"/>
                    </w:rPr>
                    <m:t>EAN</m:t>
                  </m:r>
                </m:sup>
              </m:sSubSup>
            </m:e>
          </m:sPre>
          <m:r>
            <w:rPr>
              <w:rFonts w:ascii="Cambria Math" w:hAnsi="Cambria Math" w:cs="Times New Roman"/>
              <w:sz w:val="24"/>
              <w:szCs w:val="24"/>
            </w:rPr>
            <m:t xml:space="preserve">= </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x</m:t>
                  </m:r>
                </m:sub>
              </m:sSub>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sPre>
                    <m:sPrePr>
                      <m:ctrlPr>
                        <w:rPr>
                          <w:rFonts w:ascii="Cambria Math" w:hAnsi="Cambria Math" w:cs="Times New Roman"/>
                          <w:i/>
                          <w:sz w:val="24"/>
                          <w:szCs w:val="24"/>
                        </w:rPr>
                      </m:ctrlPr>
                    </m:sPrePr>
                    <m:sub>
                      <m:r>
                        <w:rPr>
                          <w:rFonts w:ascii="Cambria Math" w:hAnsi="Cambria Math" w:cs="Times New Roman"/>
                          <w:sz w:val="24"/>
                          <w:szCs w:val="24"/>
                        </w:rPr>
                        <m:t>x-y</m:t>
                      </m:r>
                    </m:sub>
                    <m:sup>
                      <m:r>
                        <w:rPr>
                          <w:rFonts w:ascii="Cambria Math" w:hAnsi="Cambria Math" w:cs="Times New Roman"/>
                          <w:sz w:val="24"/>
                          <w:szCs w:val="24"/>
                        </w:rPr>
                        <m:t xml:space="preserve"> </m:t>
                      </m:r>
                    </m:sup>
                    <m:e>
                      <m:r>
                        <w:rPr>
                          <w:rFonts w:ascii="Cambria Math" w:hAnsi="Cambria Math" w:cs="Times New Roman"/>
                          <w:sz w:val="24"/>
                          <w:szCs w:val="24"/>
                        </w:rPr>
                        <m:t>P</m:t>
                      </m:r>
                    </m:e>
                  </m:sPre>
                </m:e>
                <m:sub>
                  <m:r>
                    <w:rPr>
                      <w:rFonts w:ascii="Cambria Math" w:hAnsi="Cambria Math" w:cs="Times New Roman"/>
                      <w:sz w:val="24"/>
                      <w:szCs w:val="24"/>
                    </w:rPr>
                    <m:t>y</m:t>
                  </m:r>
                </m:sub>
                <m:sup>
                  <m:r>
                    <w:rPr>
                      <w:rFonts w:ascii="Cambria Math" w:hAnsi="Cambria Math" w:cs="Times New Roman"/>
                      <w:sz w:val="24"/>
                      <w:szCs w:val="24"/>
                    </w:rPr>
                    <m:t xml:space="preserve"> </m:t>
                  </m:r>
                </m:sup>
              </m:sSubSup>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v</m:t>
                  </m:r>
                </m:e>
                <m:sup>
                  <m:r>
                    <w:rPr>
                      <w:rFonts w:ascii="Cambria Math" w:hAnsi="Cambria Math" w:cs="Times New Roman"/>
                      <w:sz w:val="24"/>
                      <w:szCs w:val="24"/>
                    </w:rPr>
                    <m:t>x-y</m:t>
                  </m:r>
                </m:sup>
              </m:sSup>
            </m:num>
            <m:den>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y</m:t>
                  </m:r>
                </m:sub>
              </m:sSub>
              <m:sSubSup>
                <m:sSubSupPr>
                  <m:ctrlPr>
                    <w:rPr>
                      <w:rFonts w:ascii="Cambria Math" w:hAnsi="Cambria Math" w:cs="Times New Roman"/>
                      <w:i/>
                      <w:sz w:val="24"/>
                      <w:szCs w:val="24"/>
                    </w:rPr>
                  </m:ctrlPr>
                </m:sSubSupPr>
                <m:e>
                  <m:sPre>
                    <m:sPrePr>
                      <m:ctrlPr>
                        <w:rPr>
                          <w:rFonts w:ascii="Cambria Math" w:hAnsi="Cambria Math" w:cs="Times New Roman"/>
                          <w:i/>
                          <w:sz w:val="24"/>
                          <w:szCs w:val="24"/>
                        </w:rPr>
                      </m:ctrlPr>
                    </m:sPrePr>
                    <m:sub>
                      <m:r>
                        <w:rPr>
                          <w:rFonts w:ascii="Cambria Math" w:hAnsi="Cambria Math" w:cs="Times New Roman"/>
                          <w:sz w:val="24"/>
                          <w:szCs w:val="24"/>
                        </w:rPr>
                        <m:t xml:space="preserve"> </m:t>
                      </m:r>
                    </m:sub>
                    <m:sup>
                      <m:r>
                        <w:rPr>
                          <w:rFonts w:ascii="Cambria Math" w:hAnsi="Cambria Math" w:cs="Times New Roman"/>
                          <w:sz w:val="24"/>
                          <w:szCs w:val="24"/>
                        </w:rPr>
                        <m:t>s</m:t>
                      </m:r>
                    </m:sup>
                    <m:e>
                      <m:acc>
                        <m:accPr>
                          <m:chr m:val="̈"/>
                          <m:ctrlPr>
                            <w:rPr>
                              <w:rFonts w:ascii="Cambria Math" w:hAnsi="Cambria Math" w:cs="Times New Roman"/>
                              <w:i/>
                              <w:sz w:val="24"/>
                              <w:szCs w:val="24"/>
                            </w:rPr>
                          </m:ctrlPr>
                        </m:accPr>
                        <m:e>
                          <m:r>
                            <w:rPr>
                              <w:rFonts w:ascii="Cambria Math" w:hAnsi="Cambria Math" w:cs="Times New Roman"/>
                              <w:sz w:val="24"/>
                              <w:szCs w:val="24"/>
                            </w:rPr>
                            <m:t>a</m:t>
                          </m:r>
                        </m:e>
                      </m:acc>
                    </m:e>
                  </m:sPre>
                </m:e>
                <m:sub>
                  <m:r>
                    <w:rPr>
                      <w:rFonts w:ascii="Cambria Math" w:hAnsi="Cambria Math" w:cs="Times New Roman"/>
                      <w:sz w:val="24"/>
                      <w:szCs w:val="24"/>
                    </w:rPr>
                    <m:t>y:</m:t>
                  </m:r>
                  <m:bar>
                    <m:barPr>
                      <m:pos m:val="top"/>
                      <m:ctrlPr>
                        <w:rPr>
                          <w:rFonts w:ascii="Cambria Math" w:hAnsi="Cambria Math" w:cs="Times New Roman"/>
                          <w:i/>
                          <w:sz w:val="24"/>
                          <w:szCs w:val="24"/>
                        </w:rPr>
                      </m:ctrlPr>
                    </m:barPr>
                    <m:e>
                      <m:d>
                        <m:dPr>
                          <m:begChr m:val=""/>
                          <m:endChr m:val="|"/>
                          <m:ctrlPr>
                            <w:rPr>
                              <w:rFonts w:ascii="Cambria Math" w:hAnsi="Cambria Math" w:cs="Times New Roman"/>
                              <w:i/>
                              <w:sz w:val="24"/>
                              <w:szCs w:val="24"/>
                            </w:rPr>
                          </m:ctrlPr>
                        </m:dPr>
                        <m:e>
                          <m:r>
                            <w:rPr>
                              <w:rFonts w:ascii="Cambria Math" w:hAnsi="Cambria Math" w:cs="Times New Roman"/>
                              <w:sz w:val="24"/>
                              <w:szCs w:val="24"/>
                            </w:rPr>
                            <m:t>r-y</m:t>
                          </m:r>
                        </m:e>
                      </m:d>
                    </m:e>
                  </m:bar>
                </m:sub>
                <m:sup>
                  <m:r>
                    <w:rPr>
                      <w:rFonts w:ascii="Cambria Math" w:hAnsi="Cambria Math" w:cs="Times New Roman"/>
                      <w:sz w:val="24"/>
                      <w:szCs w:val="24"/>
                    </w:rPr>
                    <m:t xml:space="preserve"> </m:t>
                  </m:r>
                </m:sup>
              </m:sSubSup>
            </m:den>
          </m:f>
          <m:sPre>
            <m:sPrePr>
              <m:ctrlPr>
                <w:rPr>
                  <w:rFonts w:ascii="Cambria Math" w:hAnsi="Cambria Math" w:cs="Times New Roman"/>
                  <w:i/>
                  <w:sz w:val="24"/>
                  <w:szCs w:val="24"/>
                </w:rPr>
              </m:ctrlPr>
            </m:sPrePr>
            <m:sub>
              <m:r>
                <w:rPr>
                  <w:rFonts w:ascii="Cambria Math" w:hAnsi="Cambria Math" w:cs="Times New Roman"/>
                  <w:sz w:val="24"/>
                  <w:szCs w:val="24"/>
                </w:rPr>
                <m:t xml:space="preserve"> </m:t>
              </m:r>
            </m:sub>
            <m:sup>
              <m:r>
                <w:rPr>
                  <w:rFonts w:ascii="Cambria Math" w:hAnsi="Cambria Math" w:cs="Times New Roman"/>
                  <w:sz w:val="24"/>
                  <w:szCs w:val="24"/>
                </w:rPr>
                <m:t>r</m:t>
              </m:r>
            </m:sup>
            <m:e>
              <m:sSub>
                <m:sSubPr>
                  <m:ctrlPr>
                    <w:rPr>
                      <w:rFonts w:ascii="Cambria Math" w:hAnsi="Cambria Math" w:cs="Times New Roman"/>
                      <w:i/>
                      <w:sz w:val="24"/>
                      <w:szCs w:val="24"/>
                    </w:rPr>
                  </m:ctrlPr>
                </m:sSubPr>
                <m:e>
                  <m:r>
                    <w:rPr>
                      <w:rFonts w:ascii="Cambria Math" w:hAnsi="Cambria Math" w:cs="Times New Roman"/>
                      <w:sz w:val="24"/>
                      <w:szCs w:val="24"/>
                    </w:rPr>
                    <m:t>(PVFB)</m:t>
                  </m:r>
                </m:e>
                <m:sub>
                  <m:r>
                    <w:rPr>
                      <w:rFonts w:ascii="Cambria Math" w:hAnsi="Cambria Math" w:cs="Times New Roman"/>
                      <w:sz w:val="24"/>
                      <w:szCs w:val="24"/>
                    </w:rPr>
                    <m:t>x</m:t>
                  </m:r>
                </m:sub>
              </m:sSub>
            </m:e>
          </m:sPre>
        </m:oMath>
      </m:oMathPara>
    </w:p>
    <w:p w14:paraId="09F02E9E" w14:textId="77777777" w:rsidR="002629C2" w:rsidRPr="00B70B1A" w:rsidRDefault="002629C2" w:rsidP="002629C2">
      <w:pPr>
        <w:spacing w:after="0" w:line="240" w:lineRule="auto"/>
        <w:contextualSpacing/>
        <w:jc w:val="center"/>
        <w:rPr>
          <w:rFonts w:ascii="Times New Roman" w:hAnsi="Times New Roman" w:cs="Times New Roman"/>
          <w:sz w:val="24"/>
          <w:szCs w:val="24"/>
        </w:rPr>
      </w:pPr>
      <w:r w:rsidRPr="00B70B1A">
        <w:rPr>
          <w:rFonts w:ascii="Times New Roman" w:hAnsi="Times New Roman" w:cs="Times New Roman"/>
          <w:sz w:val="24"/>
          <w:szCs w:val="24"/>
        </w:rPr>
        <w:br/>
      </w:r>
      <m:oMathPara>
        <m:oMath>
          <m:sPre>
            <m:sPrePr>
              <m:ctrlPr>
                <w:rPr>
                  <w:rFonts w:ascii="Cambria Math" w:hAnsi="Cambria Math" w:cs="Times New Roman"/>
                  <w:i/>
                  <w:sz w:val="24"/>
                  <w:szCs w:val="24"/>
                </w:rPr>
              </m:ctrlPr>
            </m:sPrePr>
            <m:sub>
              <m:r>
                <w:rPr>
                  <w:rFonts w:ascii="Cambria Math" w:hAnsi="Cambria Math" w:cs="Times New Roman"/>
                  <w:sz w:val="24"/>
                  <w:szCs w:val="24"/>
                </w:rPr>
                <m:t xml:space="preserve"> </m:t>
              </m:r>
            </m:sub>
            <m:sup>
              <m:r>
                <w:rPr>
                  <w:rFonts w:ascii="Cambria Math" w:hAnsi="Cambria Math" w:cs="Times New Roman"/>
                  <w:sz w:val="24"/>
                  <w:szCs w:val="24"/>
                </w:rPr>
                <m:t>r</m:t>
              </m:r>
            </m:sup>
            <m:e>
              <m:sSubSup>
                <m:sSubSupPr>
                  <m:ctrlPr>
                    <w:rPr>
                      <w:rFonts w:ascii="Cambria Math" w:hAnsi="Cambria Math" w:cs="Times New Roman"/>
                      <w:i/>
                      <w:sz w:val="24"/>
                      <w:szCs w:val="24"/>
                    </w:rPr>
                  </m:ctrlPr>
                </m:sSubSupPr>
                <m:e>
                  <m:r>
                    <w:rPr>
                      <w:rFonts w:ascii="Cambria Math" w:hAnsi="Cambria Math" w:cs="Times New Roman"/>
                      <w:sz w:val="24"/>
                      <w:szCs w:val="24"/>
                    </w:rPr>
                    <m:t>(NC)</m:t>
                  </m:r>
                </m:e>
                <m:sub>
                  <m:r>
                    <w:rPr>
                      <w:rFonts w:ascii="Cambria Math" w:hAnsi="Cambria Math" w:cs="Times New Roman"/>
                      <w:sz w:val="24"/>
                      <w:szCs w:val="24"/>
                    </w:rPr>
                    <m:t>x</m:t>
                  </m:r>
                </m:sub>
                <m:sup>
                  <m:r>
                    <w:rPr>
                      <w:rFonts w:ascii="Cambria Math" w:hAnsi="Cambria Math" w:cs="Times New Roman"/>
                      <w:sz w:val="24"/>
                      <w:szCs w:val="24"/>
                    </w:rPr>
                    <m:t>PUC</m:t>
                  </m:r>
                </m:sup>
              </m:sSubSup>
            </m:e>
          </m:sPre>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r-y</m:t>
              </m:r>
            </m:den>
          </m:f>
          <m:sPre>
            <m:sPrePr>
              <m:ctrlPr>
                <w:rPr>
                  <w:rFonts w:ascii="Cambria Math" w:hAnsi="Cambria Math" w:cs="Times New Roman"/>
                  <w:i/>
                  <w:sz w:val="24"/>
                  <w:szCs w:val="24"/>
                </w:rPr>
              </m:ctrlPr>
            </m:sPrePr>
            <m:sub>
              <m:r>
                <w:rPr>
                  <w:rFonts w:ascii="Cambria Math" w:hAnsi="Cambria Math" w:cs="Times New Roman"/>
                  <w:sz w:val="24"/>
                  <w:szCs w:val="24"/>
                </w:rPr>
                <m:t xml:space="preserve"> </m:t>
              </m:r>
            </m:sub>
            <m:sup>
              <m:r>
                <w:rPr>
                  <w:rFonts w:ascii="Cambria Math" w:hAnsi="Cambria Math" w:cs="Times New Roman"/>
                  <w:sz w:val="24"/>
                  <w:szCs w:val="24"/>
                </w:rPr>
                <m:t>r</m:t>
              </m:r>
            </m:sup>
            <m:e>
              <m:sSub>
                <m:sSubPr>
                  <m:ctrlPr>
                    <w:rPr>
                      <w:rFonts w:ascii="Cambria Math" w:hAnsi="Cambria Math" w:cs="Times New Roman"/>
                      <w:i/>
                      <w:sz w:val="24"/>
                      <w:szCs w:val="24"/>
                    </w:rPr>
                  </m:ctrlPr>
                </m:sSubPr>
                <m:e>
                  <m:r>
                    <w:rPr>
                      <w:rFonts w:ascii="Cambria Math" w:hAnsi="Cambria Math" w:cs="Times New Roman"/>
                      <w:sz w:val="24"/>
                      <w:szCs w:val="24"/>
                    </w:rPr>
                    <m:t>(PVFB)</m:t>
                  </m:r>
                </m:e>
                <m:sub>
                  <m:r>
                    <w:rPr>
                      <w:rFonts w:ascii="Cambria Math" w:hAnsi="Cambria Math" w:cs="Times New Roman"/>
                      <w:sz w:val="24"/>
                      <w:szCs w:val="24"/>
                    </w:rPr>
                    <m:t>x</m:t>
                  </m:r>
                </m:sub>
              </m:sSub>
            </m:e>
          </m:sPre>
        </m:oMath>
      </m:oMathPara>
    </w:p>
    <w:p w14:paraId="5E3916B9" w14:textId="77777777" w:rsidR="002629C2" w:rsidRPr="00B70B1A" w:rsidRDefault="002629C2" w:rsidP="002629C2">
      <w:pPr>
        <w:spacing w:after="0" w:line="240" w:lineRule="auto"/>
        <w:contextualSpacing/>
        <w:jc w:val="center"/>
        <w:rPr>
          <w:rFonts w:ascii="Times New Roman" w:hAnsi="Times New Roman" w:cs="Times New Roman"/>
          <w:sz w:val="24"/>
          <w:szCs w:val="24"/>
        </w:rPr>
      </w:pPr>
    </w:p>
    <w:p w14:paraId="4F29A14E" w14:textId="77777777" w:rsidR="002629C2" w:rsidRPr="00B70B1A" w:rsidRDefault="008E21C0" w:rsidP="002629C2">
      <w:pPr>
        <w:spacing w:after="0" w:line="240" w:lineRule="auto"/>
        <w:contextualSpacing/>
        <w:rPr>
          <w:rFonts w:ascii="Times New Roman" w:hAnsi="Times New Roman" w:cs="Times New Roman"/>
          <w:sz w:val="24"/>
          <w:szCs w:val="24"/>
        </w:rPr>
      </w:pPr>
      <m:oMathPara>
        <m:oMath>
          <m:sPre>
            <m:sPrePr>
              <m:ctrlPr>
                <w:rPr>
                  <w:rFonts w:ascii="Cambria Math" w:hAnsi="Cambria Math" w:cs="Times New Roman"/>
                  <w:i/>
                  <w:sz w:val="24"/>
                  <w:szCs w:val="24"/>
                </w:rPr>
              </m:ctrlPr>
            </m:sPrePr>
            <m:sub>
              <m:r>
                <w:rPr>
                  <w:rFonts w:ascii="Cambria Math" w:hAnsi="Cambria Math" w:cs="Times New Roman"/>
                  <w:sz w:val="24"/>
                  <w:szCs w:val="24"/>
                </w:rPr>
                <m:t xml:space="preserve"> </m:t>
              </m:r>
            </m:sub>
            <m:sup>
              <m:r>
                <w:rPr>
                  <w:rFonts w:ascii="Cambria Math" w:hAnsi="Cambria Math" w:cs="Times New Roman"/>
                  <w:sz w:val="24"/>
                  <w:szCs w:val="24"/>
                </w:rPr>
                <m:t>r</m:t>
              </m:r>
            </m:sup>
            <m:e>
              <m:sSubSup>
                <m:sSubSupPr>
                  <m:ctrlPr>
                    <w:rPr>
                      <w:rFonts w:ascii="Cambria Math" w:hAnsi="Cambria Math" w:cs="Times New Roman"/>
                      <w:i/>
                      <w:sz w:val="24"/>
                      <w:szCs w:val="24"/>
                    </w:rPr>
                  </m:ctrlPr>
                </m:sSubSupPr>
                <m:e>
                  <m:r>
                    <w:rPr>
                      <w:rFonts w:ascii="Cambria Math" w:hAnsi="Cambria Math" w:cs="Times New Roman"/>
                      <w:sz w:val="24"/>
                      <w:szCs w:val="24"/>
                    </w:rPr>
                    <m:t>(AAL)</m:t>
                  </m:r>
                </m:e>
                <m:sub>
                  <m:r>
                    <w:rPr>
                      <w:rFonts w:ascii="Cambria Math" w:hAnsi="Cambria Math" w:cs="Times New Roman"/>
                      <w:sz w:val="24"/>
                      <w:szCs w:val="24"/>
                    </w:rPr>
                    <m:t>x</m:t>
                  </m:r>
                </m:sub>
                <m:sup>
                  <m:r>
                    <w:rPr>
                      <w:rFonts w:ascii="Cambria Math" w:hAnsi="Cambria Math" w:cs="Times New Roman"/>
                      <w:sz w:val="24"/>
                      <w:szCs w:val="24"/>
                    </w:rPr>
                    <m:t>EAN</m:t>
                  </m:r>
                </m:sup>
              </m:sSubSup>
            </m:e>
          </m:sPre>
          <m:r>
            <w:rPr>
              <w:rFonts w:ascii="Cambria Math" w:hAnsi="Cambria Math" w:cs="Times New Roman"/>
              <w:sz w:val="24"/>
              <w:szCs w:val="24"/>
            </w:rPr>
            <m:t>=</m:t>
          </m:r>
          <m:f>
            <m:fPr>
              <m:ctrlPr>
                <w:rPr>
                  <w:rFonts w:ascii="Cambria Math" w:hAnsi="Cambria Math" w:cs="Times New Roman"/>
                  <w:i/>
                  <w:sz w:val="24"/>
                  <w:szCs w:val="24"/>
                </w:rPr>
              </m:ctrlPr>
            </m:fPr>
            <m:num>
              <m:sPre>
                <m:sPrePr>
                  <m:ctrlPr>
                    <w:rPr>
                      <w:rFonts w:ascii="Cambria Math" w:hAnsi="Cambria Math" w:cs="Times New Roman"/>
                      <w:i/>
                      <w:sz w:val="24"/>
                      <w:szCs w:val="24"/>
                    </w:rPr>
                  </m:ctrlPr>
                </m:sPrePr>
                <m:sub>
                  <m:r>
                    <w:rPr>
                      <w:rFonts w:ascii="Cambria Math" w:hAnsi="Cambria Math" w:cs="Times New Roman"/>
                      <w:sz w:val="24"/>
                      <w:szCs w:val="24"/>
                    </w:rPr>
                    <m:t xml:space="preserve"> </m:t>
                  </m:r>
                </m:sub>
                <m:sup>
                  <m:r>
                    <w:rPr>
                      <w:rFonts w:ascii="Cambria Math" w:hAnsi="Cambria Math" w:cs="Times New Roman"/>
                      <w:sz w:val="24"/>
                      <w:szCs w:val="24"/>
                    </w:rPr>
                    <m:t>s</m:t>
                  </m:r>
                </m:sup>
                <m:e>
                  <m:sSubSup>
                    <m:sSubSupPr>
                      <m:ctrlPr>
                        <w:rPr>
                          <w:rFonts w:ascii="Cambria Math" w:hAnsi="Cambria Math" w:cs="Times New Roman"/>
                          <w:i/>
                          <w:sz w:val="24"/>
                          <w:szCs w:val="24"/>
                        </w:rPr>
                      </m:ctrlPr>
                    </m:sSubSupPr>
                    <m:e>
                      <m:acc>
                        <m:accPr>
                          <m:chr m:val="̈"/>
                          <m:ctrlPr>
                            <w:rPr>
                              <w:rFonts w:ascii="Cambria Math" w:hAnsi="Cambria Math" w:cs="Times New Roman"/>
                              <w:i/>
                              <w:sz w:val="24"/>
                              <w:szCs w:val="24"/>
                            </w:rPr>
                          </m:ctrlPr>
                        </m:accPr>
                        <m:e>
                          <m:r>
                            <w:rPr>
                              <w:rFonts w:ascii="Cambria Math" w:hAnsi="Cambria Math" w:cs="Times New Roman"/>
                              <w:sz w:val="24"/>
                              <w:szCs w:val="24"/>
                            </w:rPr>
                            <m:t>a</m:t>
                          </m:r>
                        </m:e>
                      </m:acc>
                    </m:e>
                    <m:sub>
                      <m:r>
                        <w:rPr>
                          <w:rFonts w:ascii="Cambria Math" w:hAnsi="Cambria Math" w:cs="Times New Roman"/>
                          <w:sz w:val="24"/>
                          <w:szCs w:val="24"/>
                        </w:rPr>
                        <m:t>y:</m:t>
                      </m:r>
                      <m:bar>
                        <m:barPr>
                          <m:pos m:val="top"/>
                          <m:ctrlPr>
                            <w:rPr>
                              <w:rFonts w:ascii="Cambria Math" w:hAnsi="Cambria Math" w:cs="Times New Roman"/>
                              <w:i/>
                              <w:sz w:val="24"/>
                              <w:szCs w:val="24"/>
                            </w:rPr>
                          </m:ctrlPr>
                        </m:barPr>
                        <m:e>
                          <m:d>
                            <m:dPr>
                              <m:begChr m:val=""/>
                              <m:endChr m:val="|"/>
                              <m:ctrlPr>
                                <w:rPr>
                                  <w:rFonts w:ascii="Cambria Math" w:hAnsi="Cambria Math" w:cs="Times New Roman"/>
                                  <w:i/>
                                  <w:sz w:val="24"/>
                                  <w:szCs w:val="24"/>
                                </w:rPr>
                              </m:ctrlPr>
                            </m:dPr>
                            <m:e>
                              <m:r>
                                <w:rPr>
                                  <w:rFonts w:ascii="Cambria Math" w:hAnsi="Cambria Math" w:cs="Times New Roman"/>
                                  <w:sz w:val="24"/>
                                  <w:szCs w:val="24"/>
                                </w:rPr>
                                <m:t>x-y</m:t>
                              </m:r>
                            </m:e>
                          </m:d>
                        </m:e>
                      </m:bar>
                    </m:sub>
                    <m:sup>
                      <m:r>
                        <w:rPr>
                          <w:rFonts w:ascii="Cambria Math" w:hAnsi="Cambria Math" w:cs="Times New Roman"/>
                          <w:sz w:val="24"/>
                          <w:szCs w:val="24"/>
                        </w:rPr>
                        <m:t xml:space="preserve"> </m:t>
                      </m:r>
                    </m:sup>
                  </m:sSubSup>
                </m:e>
              </m:sPre>
            </m:num>
            <m:den>
              <m:sPre>
                <m:sPrePr>
                  <m:ctrlPr>
                    <w:rPr>
                      <w:rFonts w:ascii="Cambria Math" w:hAnsi="Cambria Math" w:cs="Times New Roman"/>
                      <w:i/>
                      <w:sz w:val="24"/>
                      <w:szCs w:val="24"/>
                    </w:rPr>
                  </m:ctrlPr>
                </m:sPrePr>
                <m:sub>
                  <m:r>
                    <w:rPr>
                      <w:rFonts w:ascii="Cambria Math" w:hAnsi="Cambria Math" w:cs="Times New Roman"/>
                      <w:sz w:val="24"/>
                      <w:szCs w:val="24"/>
                    </w:rPr>
                    <m:t xml:space="preserve"> </m:t>
                  </m:r>
                </m:sub>
                <m:sup>
                  <m:r>
                    <w:rPr>
                      <w:rFonts w:ascii="Cambria Math" w:hAnsi="Cambria Math" w:cs="Times New Roman"/>
                      <w:sz w:val="24"/>
                      <w:szCs w:val="24"/>
                    </w:rPr>
                    <m:t>s</m:t>
                  </m:r>
                </m:sup>
                <m:e>
                  <m:sSubSup>
                    <m:sSubSupPr>
                      <m:ctrlPr>
                        <w:rPr>
                          <w:rFonts w:ascii="Cambria Math" w:hAnsi="Cambria Math" w:cs="Times New Roman"/>
                          <w:i/>
                          <w:sz w:val="24"/>
                          <w:szCs w:val="24"/>
                        </w:rPr>
                      </m:ctrlPr>
                    </m:sSubSupPr>
                    <m:e>
                      <m:acc>
                        <m:accPr>
                          <m:chr m:val="̈"/>
                          <m:ctrlPr>
                            <w:rPr>
                              <w:rFonts w:ascii="Cambria Math" w:hAnsi="Cambria Math" w:cs="Times New Roman"/>
                              <w:i/>
                              <w:sz w:val="24"/>
                              <w:szCs w:val="24"/>
                            </w:rPr>
                          </m:ctrlPr>
                        </m:accPr>
                        <m:e>
                          <m:r>
                            <w:rPr>
                              <w:rFonts w:ascii="Cambria Math" w:hAnsi="Cambria Math" w:cs="Times New Roman"/>
                              <w:sz w:val="24"/>
                              <w:szCs w:val="24"/>
                            </w:rPr>
                            <m:t>a</m:t>
                          </m:r>
                        </m:e>
                      </m:acc>
                    </m:e>
                    <m:sub>
                      <m:r>
                        <w:rPr>
                          <w:rFonts w:ascii="Cambria Math" w:hAnsi="Cambria Math" w:cs="Times New Roman"/>
                          <w:sz w:val="24"/>
                          <w:szCs w:val="24"/>
                        </w:rPr>
                        <m:t>y:</m:t>
                      </m:r>
                      <m:bar>
                        <m:barPr>
                          <m:pos m:val="top"/>
                          <m:ctrlPr>
                            <w:rPr>
                              <w:rFonts w:ascii="Cambria Math" w:hAnsi="Cambria Math" w:cs="Times New Roman"/>
                              <w:i/>
                              <w:sz w:val="24"/>
                              <w:szCs w:val="24"/>
                            </w:rPr>
                          </m:ctrlPr>
                        </m:barPr>
                        <m:e>
                          <m:d>
                            <m:dPr>
                              <m:begChr m:val=""/>
                              <m:endChr m:val="|"/>
                              <m:ctrlPr>
                                <w:rPr>
                                  <w:rFonts w:ascii="Cambria Math" w:hAnsi="Cambria Math" w:cs="Times New Roman"/>
                                  <w:i/>
                                  <w:sz w:val="24"/>
                                  <w:szCs w:val="24"/>
                                </w:rPr>
                              </m:ctrlPr>
                            </m:dPr>
                            <m:e>
                              <m:r>
                                <w:rPr>
                                  <w:rFonts w:ascii="Cambria Math" w:hAnsi="Cambria Math" w:cs="Times New Roman"/>
                                  <w:sz w:val="24"/>
                                  <w:szCs w:val="24"/>
                                </w:rPr>
                                <m:t>r-y</m:t>
                              </m:r>
                            </m:e>
                          </m:d>
                        </m:e>
                      </m:bar>
                    </m:sub>
                    <m:sup>
                      <m:r>
                        <w:rPr>
                          <w:rFonts w:ascii="Cambria Math" w:hAnsi="Cambria Math" w:cs="Times New Roman"/>
                          <w:sz w:val="24"/>
                          <w:szCs w:val="24"/>
                        </w:rPr>
                        <m:t xml:space="preserve"> </m:t>
                      </m:r>
                    </m:sup>
                  </m:sSubSup>
                </m:e>
              </m:sPre>
            </m:den>
          </m:f>
          <m:sPre>
            <m:sPrePr>
              <m:ctrlPr>
                <w:rPr>
                  <w:rFonts w:ascii="Cambria Math" w:hAnsi="Cambria Math" w:cs="Times New Roman"/>
                  <w:i/>
                  <w:sz w:val="24"/>
                  <w:szCs w:val="24"/>
                </w:rPr>
              </m:ctrlPr>
            </m:sPrePr>
            <m:sub>
              <m:r>
                <w:rPr>
                  <w:rFonts w:ascii="Cambria Math" w:hAnsi="Cambria Math" w:cs="Times New Roman"/>
                  <w:sz w:val="24"/>
                  <w:szCs w:val="24"/>
                </w:rPr>
                <m:t xml:space="preserve"> </m:t>
              </m:r>
            </m:sub>
            <m:sup>
              <m:r>
                <w:rPr>
                  <w:rFonts w:ascii="Cambria Math" w:hAnsi="Cambria Math" w:cs="Times New Roman"/>
                  <w:sz w:val="24"/>
                  <w:szCs w:val="24"/>
                </w:rPr>
                <m:t>r</m:t>
              </m:r>
            </m:sup>
            <m:e>
              <m:sSub>
                <m:sSubPr>
                  <m:ctrlPr>
                    <w:rPr>
                      <w:rFonts w:ascii="Cambria Math" w:hAnsi="Cambria Math" w:cs="Times New Roman"/>
                      <w:i/>
                      <w:sz w:val="24"/>
                      <w:szCs w:val="24"/>
                    </w:rPr>
                  </m:ctrlPr>
                </m:sSubPr>
                <m:e>
                  <m:r>
                    <w:rPr>
                      <w:rFonts w:ascii="Cambria Math" w:hAnsi="Cambria Math" w:cs="Times New Roman"/>
                      <w:sz w:val="24"/>
                      <w:szCs w:val="24"/>
                    </w:rPr>
                    <m:t>(PVFB)</m:t>
                  </m:r>
                </m:e>
                <m:sub>
                  <m:r>
                    <w:rPr>
                      <w:rFonts w:ascii="Cambria Math" w:hAnsi="Cambria Math" w:cs="Times New Roman"/>
                      <w:sz w:val="24"/>
                      <w:szCs w:val="24"/>
                    </w:rPr>
                    <m:t>x</m:t>
                  </m:r>
                </m:sub>
              </m:sSub>
            </m:e>
          </m:sPre>
        </m:oMath>
      </m:oMathPara>
    </w:p>
    <w:p w14:paraId="0B1E0EF9" w14:textId="77777777" w:rsidR="002629C2" w:rsidRPr="00B70B1A" w:rsidRDefault="002629C2" w:rsidP="002629C2">
      <w:pPr>
        <w:spacing w:after="0" w:line="240" w:lineRule="auto"/>
        <w:contextualSpacing/>
        <w:rPr>
          <w:rFonts w:ascii="Times New Roman" w:hAnsi="Times New Roman" w:cs="Times New Roman"/>
          <w:sz w:val="24"/>
          <w:szCs w:val="24"/>
        </w:rPr>
      </w:pPr>
    </w:p>
    <w:p w14:paraId="1B310D92" w14:textId="77777777" w:rsidR="002629C2" w:rsidRPr="00B70B1A" w:rsidRDefault="008E21C0" w:rsidP="002629C2">
      <w:pPr>
        <w:spacing w:after="0" w:line="240" w:lineRule="auto"/>
        <w:contextualSpacing/>
        <w:rPr>
          <w:rFonts w:ascii="Times New Roman" w:hAnsi="Times New Roman" w:cs="Times New Roman"/>
          <w:sz w:val="24"/>
          <w:szCs w:val="24"/>
        </w:rPr>
      </w:pPr>
      <m:oMathPara>
        <m:oMath>
          <m:sPre>
            <m:sPrePr>
              <m:ctrlPr>
                <w:rPr>
                  <w:rFonts w:ascii="Cambria Math" w:hAnsi="Cambria Math" w:cs="Times New Roman"/>
                  <w:i/>
                  <w:sz w:val="24"/>
                  <w:szCs w:val="24"/>
                </w:rPr>
              </m:ctrlPr>
            </m:sPrePr>
            <m:sub>
              <m:r>
                <w:rPr>
                  <w:rFonts w:ascii="Cambria Math" w:hAnsi="Cambria Math" w:cs="Times New Roman"/>
                  <w:sz w:val="24"/>
                  <w:szCs w:val="24"/>
                </w:rPr>
                <m:t xml:space="preserve"> </m:t>
              </m:r>
            </m:sub>
            <m:sup>
              <m:r>
                <w:rPr>
                  <w:rFonts w:ascii="Cambria Math" w:hAnsi="Cambria Math" w:cs="Times New Roman"/>
                  <w:sz w:val="24"/>
                  <w:szCs w:val="24"/>
                </w:rPr>
                <m:t>r</m:t>
              </m:r>
            </m:sup>
            <m:e>
              <m:sSubSup>
                <m:sSubSupPr>
                  <m:ctrlPr>
                    <w:rPr>
                      <w:rFonts w:ascii="Cambria Math" w:hAnsi="Cambria Math" w:cs="Times New Roman"/>
                      <w:i/>
                      <w:sz w:val="24"/>
                      <w:szCs w:val="24"/>
                    </w:rPr>
                  </m:ctrlPr>
                </m:sSubSupPr>
                <m:e>
                  <m:r>
                    <w:rPr>
                      <w:rFonts w:ascii="Cambria Math" w:hAnsi="Cambria Math" w:cs="Times New Roman"/>
                      <w:sz w:val="24"/>
                      <w:szCs w:val="24"/>
                    </w:rPr>
                    <m:t>(AAL)</m:t>
                  </m:r>
                </m:e>
                <m:sub>
                  <m:r>
                    <w:rPr>
                      <w:rFonts w:ascii="Cambria Math" w:hAnsi="Cambria Math" w:cs="Times New Roman"/>
                      <w:sz w:val="24"/>
                      <w:szCs w:val="24"/>
                    </w:rPr>
                    <m:t>x</m:t>
                  </m:r>
                </m:sub>
                <m:sup>
                  <m:r>
                    <w:rPr>
                      <w:rFonts w:ascii="Cambria Math" w:hAnsi="Cambria Math" w:cs="Times New Roman"/>
                      <w:sz w:val="24"/>
                      <w:szCs w:val="24"/>
                    </w:rPr>
                    <m:t>PUC</m:t>
                  </m:r>
                </m:sup>
              </m:sSubSup>
            </m:e>
          </m:sPre>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x-y</m:t>
              </m:r>
            </m:num>
            <m:den>
              <m:r>
                <w:rPr>
                  <w:rFonts w:ascii="Cambria Math" w:hAnsi="Cambria Math" w:cs="Times New Roman"/>
                  <w:sz w:val="24"/>
                  <w:szCs w:val="24"/>
                </w:rPr>
                <m:t>r-y</m:t>
              </m:r>
            </m:den>
          </m:f>
          <m:sPre>
            <m:sPrePr>
              <m:ctrlPr>
                <w:rPr>
                  <w:rFonts w:ascii="Cambria Math" w:hAnsi="Cambria Math" w:cs="Times New Roman"/>
                  <w:i/>
                  <w:sz w:val="24"/>
                  <w:szCs w:val="24"/>
                </w:rPr>
              </m:ctrlPr>
            </m:sPrePr>
            <m:sub>
              <m:r>
                <w:rPr>
                  <w:rFonts w:ascii="Cambria Math" w:hAnsi="Cambria Math" w:cs="Times New Roman"/>
                  <w:sz w:val="24"/>
                  <w:szCs w:val="24"/>
                </w:rPr>
                <m:t xml:space="preserve"> </m:t>
              </m:r>
            </m:sub>
            <m:sup>
              <m:r>
                <w:rPr>
                  <w:rFonts w:ascii="Cambria Math" w:hAnsi="Cambria Math" w:cs="Times New Roman"/>
                  <w:sz w:val="24"/>
                  <w:szCs w:val="24"/>
                </w:rPr>
                <m:t>r</m:t>
              </m:r>
            </m:sup>
            <m:e>
              <m:sSub>
                <m:sSubPr>
                  <m:ctrlPr>
                    <w:rPr>
                      <w:rFonts w:ascii="Cambria Math" w:hAnsi="Cambria Math" w:cs="Times New Roman"/>
                      <w:i/>
                      <w:sz w:val="24"/>
                      <w:szCs w:val="24"/>
                    </w:rPr>
                  </m:ctrlPr>
                </m:sSubPr>
                <m:e>
                  <m:r>
                    <w:rPr>
                      <w:rFonts w:ascii="Cambria Math" w:hAnsi="Cambria Math" w:cs="Times New Roman"/>
                      <w:sz w:val="24"/>
                      <w:szCs w:val="24"/>
                    </w:rPr>
                    <m:t>(PVFB)</m:t>
                  </m:r>
                </m:e>
                <m:sub>
                  <m:r>
                    <w:rPr>
                      <w:rFonts w:ascii="Cambria Math" w:hAnsi="Cambria Math" w:cs="Times New Roman"/>
                      <w:sz w:val="24"/>
                      <w:szCs w:val="24"/>
                    </w:rPr>
                    <m:t>x</m:t>
                  </m:r>
                </m:sub>
              </m:sSub>
            </m:e>
          </m:sPre>
        </m:oMath>
      </m:oMathPara>
    </w:p>
    <w:p w14:paraId="43E26CD6" w14:textId="77777777" w:rsidR="002629C2" w:rsidRPr="00B70B1A" w:rsidRDefault="002629C2" w:rsidP="002629C2">
      <w:pPr>
        <w:spacing w:after="0" w:line="240" w:lineRule="auto"/>
        <w:contextualSpacing/>
        <w:rPr>
          <w:rFonts w:ascii="Times New Roman" w:hAnsi="Times New Roman" w:cs="Times New Roman"/>
          <w:sz w:val="24"/>
          <w:szCs w:val="24"/>
        </w:rPr>
      </w:pPr>
    </w:p>
    <w:p w14:paraId="60761C91" w14:textId="77777777" w:rsidR="002629C2" w:rsidRPr="00B70B1A" w:rsidRDefault="008E21C0" w:rsidP="002629C2">
      <w:pPr>
        <w:spacing w:after="0" w:line="240" w:lineRule="auto"/>
        <w:contextualSpacing/>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Funding ratio</m:t>
              </m:r>
            </m:e>
            <m:sub>
              <m:r>
                <w:rPr>
                  <w:rFonts w:ascii="Cambria Math" w:hAnsi="Cambria Math" w:cs="Times New Roman"/>
                  <w:sz w:val="24"/>
                  <w:szCs w:val="24"/>
                </w:rPr>
                <m:t>t</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Asset</m:t>
                  </m:r>
                </m:e>
                <m:sub>
                  <m:r>
                    <w:rPr>
                      <w:rFonts w:ascii="Cambria Math" w:hAnsi="Cambria Math" w:cs="Times New Roman"/>
                      <w:sz w:val="24"/>
                      <w:szCs w:val="24"/>
                    </w:rPr>
                    <m:t>t</m:t>
                  </m:r>
                </m:sub>
              </m:sSub>
            </m:num>
            <m:den>
              <m:sSub>
                <m:sSubPr>
                  <m:ctrlPr>
                    <w:rPr>
                      <w:rFonts w:ascii="Cambria Math" w:hAnsi="Cambria Math" w:cs="Times New Roman"/>
                      <w:i/>
                      <w:sz w:val="24"/>
                      <w:szCs w:val="24"/>
                    </w:rPr>
                  </m:ctrlPr>
                </m:sSubPr>
                <m:e>
                  <m:r>
                    <w:rPr>
                      <w:rFonts w:ascii="Cambria Math" w:hAnsi="Cambria Math" w:cs="Times New Roman"/>
                      <w:sz w:val="24"/>
                      <w:szCs w:val="24"/>
                    </w:rPr>
                    <m:t>AAL</m:t>
                  </m:r>
                </m:e>
                <m:sub>
                  <m:r>
                    <w:rPr>
                      <w:rFonts w:ascii="Cambria Math" w:hAnsi="Cambria Math" w:cs="Times New Roman"/>
                      <w:sz w:val="24"/>
                      <w:szCs w:val="24"/>
                    </w:rPr>
                    <m:t>t</m:t>
                  </m:r>
                </m:sub>
              </m:sSub>
            </m:den>
          </m:f>
        </m:oMath>
      </m:oMathPara>
    </w:p>
    <w:p w14:paraId="2E32C3D0" w14:textId="77777777" w:rsidR="002629C2" w:rsidRPr="00B70B1A" w:rsidRDefault="002629C2" w:rsidP="002629C2">
      <w:pPr>
        <w:spacing w:after="0" w:line="240" w:lineRule="auto"/>
        <w:contextualSpacing/>
        <w:rPr>
          <w:rFonts w:ascii="Times New Roman" w:hAnsi="Times New Roman" w:cs="Times New Roman"/>
          <w:sz w:val="24"/>
          <w:szCs w:val="24"/>
        </w:rPr>
      </w:pPr>
    </w:p>
    <w:p w14:paraId="6C8ED3EF" w14:textId="77777777" w:rsidR="002629C2" w:rsidRPr="00B70B1A" w:rsidRDefault="008E21C0" w:rsidP="002629C2">
      <w:pPr>
        <w:spacing w:after="0" w:line="240" w:lineRule="auto"/>
        <w:contextualSpacing/>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ARC</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NC</m:t>
              </m:r>
            </m:e>
            <m:sub>
              <m:r>
                <w:rPr>
                  <w:rFonts w:ascii="Cambria Math" w:hAnsi="Cambria Math" w:cs="Times New Roman"/>
                  <w:sz w:val="24"/>
                  <w:szCs w:val="24"/>
                </w:rPr>
                <m:t>t</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AAL</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Asset</m:t>
                  </m:r>
                </m:e>
                <m:sub>
                  <m:r>
                    <w:rPr>
                      <w:rFonts w:ascii="Cambria Math" w:hAnsi="Cambria Math" w:cs="Times New Roman"/>
                      <w:sz w:val="24"/>
                      <w:szCs w:val="24"/>
                    </w:rPr>
                    <m:t>t</m:t>
                  </m:r>
                </m:sub>
              </m:sSub>
            </m:num>
            <m:den>
              <m:sPre>
                <m:sPrePr>
                  <m:ctrlPr>
                    <w:rPr>
                      <w:rFonts w:ascii="Cambria Math" w:hAnsi="Cambria Math" w:cs="Times New Roman"/>
                      <w:i/>
                      <w:sz w:val="24"/>
                      <w:szCs w:val="24"/>
                    </w:rPr>
                  </m:ctrlPr>
                </m:sPrePr>
                <m:sub>
                  <m:r>
                    <w:rPr>
                      <w:rFonts w:ascii="Cambria Math" w:hAnsi="Cambria Math" w:cs="Times New Roman"/>
                      <w:sz w:val="24"/>
                      <w:szCs w:val="24"/>
                    </w:rPr>
                    <m:t xml:space="preserve"> </m:t>
                  </m:r>
                </m:sub>
                <m:sup>
                  <m:r>
                    <w:rPr>
                      <w:rFonts w:ascii="Cambria Math" w:hAnsi="Cambria Math" w:cs="Times New Roman"/>
                      <w:sz w:val="24"/>
                      <w:szCs w:val="24"/>
                    </w:rPr>
                    <m:t xml:space="preserve"> </m:t>
                  </m:r>
                </m:sup>
                <m:e>
                  <m:sSubSup>
                    <m:sSubSupPr>
                      <m:ctrlPr>
                        <w:rPr>
                          <w:rFonts w:ascii="Cambria Math" w:hAnsi="Cambria Math" w:cs="Times New Roman"/>
                          <w:i/>
                          <w:sz w:val="24"/>
                          <w:szCs w:val="24"/>
                        </w:rPr>
                      </m:ctrlPr>
                    </m:sSubSupPr>
                    <m:e>
                      <m:acc>
                        <m:accPr>
                          <m:chr m:val="̈"/>
                          <m:ctrlPr>
                            <w:rPr>
                              <w:rFonts w:ascii="Cambria Math" w:hAnsi="Cambria Math" w:cs="Times New Roman"/>
                              <w:i/>
                              <w:sz w:val="24"/>
                              <w:szCs w:val="24"/>
                            </w:rPr>
                          </m:ctrlPr>
                        </m:accPr>
                        <m:e>
                          <m:r>
                            <w:rPr>
                              <w:rFonts w:ascii="Cambria Math" w:hAnsi="Cambria Math" w:cs="Times New Roman"/>
                              <w:sz w:val="24"/>
                              <w:szCs w:val="24"/>
                            </w:rPr>
                            <m:t>a</m:t>
                          </m:r>
                        </m:e>
                      </m:acc>
                    </m:e>
                    <m:sub>
                      <m:r>
                        <w:rPr>
                          <w:rFonts w:ascii="Cambria Math" w:hAnsi="Cambria Math" w:cs="Times New Roman"/>
                          <w:sz w:val="24"/>
                          <w:szCs w:val="24"/>
                        </w:rPr>
                        <m:t>m</m:t>
                      </m:r>
                    </m:sub>
                    <m:sup>
                      <m:r>
                        <w:rPr>
                          <w:rFonts w:ascii="Cambria Math" w:hAnsi="Cambria Math" w:cs="Times New Roman"/>
                          <w:sz w:val="24"/>
                          <w:szCs w:val="24"/>
                        </w:rPr>
                        <m:t xml:space="preserve"> </m:t>
                      </m:r>
                    </m:sup>
                  </m:sSubSup>
                </m:e>
              </m:sPre>
            </m:den>
          </m:f>
        </m:oMath>
      </m:oMathPara>
    </w:p>
    <w:p w14:paraId="3E655BB4" w14:textId="77777777" w:rsidR="002629C2" w:rsidRPr="00B70B1A" w:rsidRDefault="002629C2" w:rsidP="002629C2">
      <w:pPr>
        <w:spacing w:after="0" w:line="240" w:lineRule="auto"/>
        <w:contextualSpacing/>
        <w:rPr>
          <w:rFonts w:ascii="Times New Roman" w:hAnsi="Times New Roman" w:cs="Times New Roman"/>
          <w:sz w:val="24"/>
          <w:szCs w:val="24"/>
        </w:rPr>
      </w:pPr>
    </w:p>
    <w:p w14:paraId="19607A93" w14:textId="06DB6C8F" w:rsidR="002629C2" w:rsidRPr="00B70B1A" w:rsidRDefault="008E21C0" w:rsidP="002629C2">
      <w:pPr>
        <w:spacing w:after="0" w:line="240" w:lineRule="auto"/>
        <w:contextualSpacing/>
        <w:rPr>
          <w:rFonts w:ascii="Times New Roman" w:hAnsi="Times New Roman" w:cs="Times New Roman"/>
          <w:sz w:val="24"/>
          <w:szCs w:val="24"/>
        </w:rPr>
      </w:pPr>
      <m:oMath>
        <m:sPre>
          <m:sPrePr>
            <m:ctrlPr>
              <w:rPr>
                <w:rFonts w:ascii="Cambria Math" w:hAnsi="Cambria Math" w:cs="Times New Roman"/>
                <w:i/>
                <w:sz w:val="24"/>
                <w:szCs w:val="24"/>
              </w:rPr>
            </m:ctrlPr>
          </m:sPrePr>
          <m:sub>
            <m:r>
              <w:rPr>
                <w:rFonts w:ascii="Cambria Math" w:hAnsi="Cambria Math" w:cs="Times New Roman"/>
                <w:sz w:val="24"/>
                <w:szCs w:val="24"/>
              </w:rPr>
              <m:t xml:space="preserve"> </m:t>
            </m:r>
          </m:sub>
          <m:sup>
            <m:r>
              <w:rPr>
                <w:rFonts w:ascii="Cambria Math" w:hAnsi="Cambria Math" w:cs="Times New Roman"/>
                <w:sz w:val="24"/>
                <w:szCs w:val="24"/>
              </w:rPr>
              <m:t>r</m:t>
            </m:r>
          </m:sup>
          <m:e>
            <m:sSubSup>
              <m:sSubSupPr>
                <m:ctrlPr>
                  <w:rPr>
                    <w:rFonts w:ascii="Cambria Math" w:hAnsi="Cambria Math" w:cs="Times New Roman"/>
                    <w:i/>
                    <w:sz w:val="24"/>
                    <w:szCs w:val="24"/>
                  </w:rPr>
                </m:ctrlPr>
              </m:sSubSupPr>
              <m:e>
                <m:r>
                  <w:rPr>
                    <w:rFonts w:ascii="Cambria Math" w:hAnsi="Cambria Math" w:cs="Times New Roman"/>
                    <w:sz w:val="24"/>
                    <w:szCs w:val="24"/>
                  </w:rPr>
                  <m:t>(NC)</m:t>
                </m:r>
              </m:e>
              <m:sub>
                <m:r>
                  <w:rPr>
                    <w:rFonts w:ascii="Cambria Math" w:hAnsi="Cambria Math" w:cs="Times New Roman"/>
                    <w:sz w:val="24"/>
                    <w:szCs w:val="24"/>
                  </w:rPr>
                  <m:t>x</m:t>
                </m:r>
              </m:sub>
              <m:sup>
                <m:r>
                  <w:rPr>
                    <w:rFonts w:ascii="Cambria Math" w:hAnsi="Cambria Math" w:cs="Times New Roman"/>
                    <w:sz w:val="24"/>
                    <w:szCs w:val="24"/>
                  </w:rPr>
                  <m:t>EAN</m:t>
                </m:r>
              </m:sup>
            </m:sSubSup>
          </m:e>
        </m:sPre>
      </m:oMath>
      <w:r w:rsidR="002629C2" w:rsidRPr="00B70B1A">
        <w:rPr>
          <w:rFonts w:ascii="Times New Roman" w:hAnsi="Times New Roman" w:cs="Times New Roman"/>
          <w:sz w:val="24"/>
          <w:szCs w:val="24"/>
        </w:rPr>
        <w:t xml:space="preserve"> </w:t>
      </w:r>
      <w:proofErr w:type="gramStart"/>
      <w:r w:rsidR="002629C2" w:rsidRPr="00B70B1A">
        <w:rPr>
          <w:rFonts w:ascii="Times New Roman" w:hAnsi="Times New Roman" w:cs="Times New Roman"/>
          <w:sz w:val="24"/>
          <w:szCs w:val="24"/>
        </w:rPr>
        <w:t>is</w:t>
      </w:r>
      <w:proofErr w:type="gramEnd"/>
      <w:r w:rsidR="002629C2" w:rsidRPr="00B70B1A">
        <w:rPr>
          <w:rFonts w:ascii="Times New Roman" w:hAnsi="Times New Roman" w:cs="Times New Roman"/>
          <w:sz w:val="24"/>
          <w:szCs w:val="24"/>
        </w:rPr>
        <w:t xml:space="preserve"> the normal cost at the age of </w:t>
      </w:r>
      <w:r w:rsidR="002629C2" w:rsidRPr="00B70B1A">
        <w:rPr>
          <w:rFonts w:ascii="Times New Roman" w:hAnsi="Times New Roman" w:cs="Times New Roman"/>
          <w:i/>
          <w:sz w:val="24"/>
          <w:szCs w:val="24"/>
        </w:rPr>
        <w:t>x</w:t>
      </w:r>
      <w:r w:rsidR="002629C2" w:rsidRPr="00B70B1A">
        <w:rPr>
          <w:rFonts w:ascii="Times New Roman" w:hAnsi="Times New Roman" w:cs="Times New Roman"/>
          <w:sz w:val="24"/>
          <w:szCs w:val="24"/>
        </w:rPr>
        <w:t xml:space="preserve"> with the assumed retirement age of </w:t>
      </w:r>
      <w:r w:rsidR="002629C2" w:rsidRPr="00B70B1A">
        <w:rPr>
          <w:rFonts w:ascii="Times New Roman" w:hAnsi="Times New Roman" w:cs="Times New Roman"/>
          <w:i/>
          <w:sz w:val="24"/>
          <w:szCs w:val="24"/>
        </w:rPr>
        <w:t>r</w:t>
      </w:r>
      <w:r w:rsidR="002629C2" w:rsidRPr="00B70B1A">
        <w:rPr>
          <w:rFonts w:ascii="Times New Roman" w:hAnsi="Times New Roman" w:cs="Times New Roman"/>
          <w:sz w:val="24"/>
          <w:szCs w:val="24"/>
        </w:rPr>
        <w:t xml:space="preserve"> under EAN method</w:t>
      </w:r>
      <w:r w:rsidR="00764310" w:rsidRPr="00B70B1A">
        <w:rPr>
          <w:rFonts w:ascii="Times New Roman" w:hAnsi="Times New Roman" w:cs="Times New Roman"/>
          <w:sz w:val="24"/>
          <w:szCs w:val="24"/>
        </w:rPr>
        <w:t>.</w:t>
      </w:r>
    </w:p>
    <w:p w14:paraId="254B08FC" w14:textId="34CA1E8C" w:rsidR="002629C2" w:rsidRPr="00B70B1A" w:rsidRDefault="008E21C0" w:rsidP="002629C2">
      <w:pPr>
        <w:spacing w:after="0" w:line="240" w:lineRule="auto"/>
        <w:contextualSpacing/>
        <w:rPr>
          <w:rFonts w:ascii="Times New Roman" w:hAnsi="Times New Roman" w:cs="Times New Roman"/>
          <w:sz w:val="24"/>
          <w:szCs w:val="24"/>
        </w:rPr>
      </w:pPr>
      <m:oMath>
        <m:sPre>
          <m:sPrePr>
            <m:ctrlPr>
              <w:rPr>
                <w:rFonts w:ascii="Cambria Math" w:hAnsi="Cambria Math" w:cs="Times New Roman"/>
                <w:i/>
                <w:sz w:val="24"/>
                <w:szCs w:val="24"/>
              </w:rPr>
            </m:ctrlPr>
          </m:sPrePr>
          <m:sub>
            <m:r>
              <w:rPr>
                <w:rFonts w:ascii="Cambria Math" w:hAnsi="Cambria Math" w:cs="Times New Roman"/>
                <w:sz w:val="24"/>
                <w:szCs w:val="24"/>
              </w:rPr>
              <m:t xml:space="preserve"> </m:t>
            </m:r>
          </m:sub>
          <m:sup>
            <m:r>
              <w:rPr>
                <w:rFonts w:ascii="Cambria Math" w:hAnsi="Cambria Math" w:cs="Times New Roman"/>
                <w:sz w:val="24"/>
                <w:szCs w:val="24"/>
              </w:rPr>
              <m:t>r</m:t>
            </m:r>
          </m:sup>
          <m:e>
            <m:sSubSup>
              <m:sSubSupPr>
                <m:ctrlPr>
                  <w:rPr>
                    <w:rFonts w:ascii="Cambria Math" w:hAnsi="Cambria Math" w:cs="Times New Roman"/>
                    <w:i/>
                    <w:sz w:val="24"/>
                    <w:szCs w:val="24"/>
                  </w:rPr>
                </m:ctrlPr>
              </m:sSubSupPr>
              <m:e>
                <m:r>
                  <w:rPr>
                    <w:rFonts w:ascii="Cambria Math" w:hAnsi="Cambria Math" w:cs="Times New Roman"/>
                    <w:sz w:val="24"/>
                    <w:szCs w:val="24"/>
                  </w:rPr>
                  <m:t>(NC)</m:t>
                </m:r>
              </m:e>
              <m:sub>
                <m:r>
                  <w:rPr>
                    <w:rFonts w:ascii="Cambria Math" w:hAnsi="Cambria Math" w:cs="Times New Roman"/>
                    <w:sz w:val="24"/>
                    <w:szCs w:val="24"/>
                  </w:rPr>
                  <m:t>x</m:t>
                </m:r>
              </m:sub>
              <m:sup>
                <m:r>
                  <w:rPr>
                    <w:rFonts w:ascii="Cambria Math" w:hAnsi="Cambria Math" w:cs="Times New Roman"/>
                    <w:sz w:val="24"/>
                    <w:szCs w:val="24"/>
                  </w:rPr>
                  <m:t>PUC</m:t>
                </m:r>
              </m:sup>
            </m:sSubSup>
          </m:e>
        </m:sPre>
      </m:oMath>
      <w:r w:rsidR="002629C2" w:rsidRPr="00B70B1A">
        <w:rPr>
          <w:rFonts w:ascii="Times New Roman" w:hAnsi="Times New Roman" w:cs="Times New Roman"/>
          <w:sz w:val="24"/>
          <w:szCs w:val="24"/>
        </w:rPr>
        <w:t xml:space="preserve"> </w:t>
      </w:r>
      <w:proofErr w:type="gramStart"/>
      <w:r w:rsidR="002629C2" w:rsidRPr="00B70B1A">
        <w:rPr>
          <w:rFonts w:ascii="Times New Roman" w:hAnsi="Times New Roman" w:cs="Times New Roman"/>
          <w:sz w:val="24"/>
          <w:szCs w:val="24"/>
        </w:rPr>
        <w:t>is</w:t>
      </w:r>
      <w:proofErr w:type="gramEnd"/>
      <w:r w:rsidR="002629C2" w:rsidRPr="00B70B1A">
        <w:rPr>
          <w:rFonts w:ascii="Times New Roman" w:hAnsi="Times New Roman" w:cs="Times New Roman"/>
          <w:sz w:val="24"/>
          <w:szCs w:val="24"/>
        </w:rPr>
        <w:t xml:space="preserve"> the normal cost at the age of </w:t>
      </w:r>
      <w:r w:rsidR="002629C2" w:rsidRPr="00B70B1A">
        <w:rPr>
          <w:rFonts w:ascii="Times New Roman" w:hAnsi="Times New Roman" w:cs="Times New Roman"/>
          <w:i/>
          <w:sz w:val="24"/>
          <w:szCs w:val="24"/>
        </w:rPr>
        <w:t>x</w:t>
      </w:r>
      <w:r w:rsidR="002629C2" w:rsidRPr="00B70B1A">
        <w:rPr>
          <w:rFonts w:ascii="Times New Roman" w:hAnsi="Times New Roman" w:cs="Times New Roman"/>
          <w:sz w:val="24"/>
          <w:szCs w:val="24"/>
        </w:rPr>
        <w:t xml:space="preserve"> with the assumed retirement age of </w:t>
      </w:r>
      <w:r w:rsidR="002629C2" w:rsidRPr="00B70B1A">
        <w:rPr>
          <w:rFonts w:ascii="Times New Roman" w:hAnsi="Times New Roman" w:cs="Times New Roman"/>
          <w:i/>
          <w:sz w:val="24"/>
          <w:szCs w:val="24"/>
        </w:rPr>
        <w:t xml:space="preserve">r </w:t>
      </w:r>
      <w:r w:rsidR="002629C2" w:rsidRPr="00B70B1A">
        <w:rPr>
          <w:rFonts w:ascii="Times New Roman" w:hAnsi="Times New Roman" w:cs="Times New Roman"/>
          <w:sz w:val="24"/>
          <w:szCs w:val="24"/>
        </w:rPr>
        <w:t>under PUC method</w:t>
      </w:r>
      <w:r w:rsidR="00764310" w:rsidRPr="00B70B1A">
        <w:rPr>
          <w:rFonts w:ascii="Times New Roman" w:hAnsi="Times New Roman" w:cs="Times New Roman"/>
          <w:sz w:val="24"/>
          <w:szCs w:val="24"/>
        </w:rPr>
        <w:t>.</w:t>
      </w:r>
    </w:p>
    <w:p w14:paraId="4AA46C22" w14:textId="7D3EC6D3" w:rsidR="002629C2" w:rsidRPr="00B70B1A" w:rsidRDefault="008E21C0" w:rsidP="002629C2">
      <w:pPr>
        <w:spacing w:after="0" w:line="240" w:lineRule="auto"/>
        <w:contextualSpacing/>
        <w:rPr>
          <w:rFonts w:ascii="Times New Roman" w:hAnsi="Times New Roman" w:cs="Times New Roman"/>
          <w:sz w:val="24"/>
          <w:szCs w:val="24"/>
        </w:rPr>
      </w:pPr>
      <m:oMath>
        <m:sPre>
          <m:sPrePr>
            <m:ctrlPr>
              <w:rPr>
                <w:rFonts w:ascii="Cambria Math" w:hAnsi="Cambria Math" w:cs="Times New Roman"/>
                <w:i/>
                <w:sz w:val="24"/>
                <w:szCs w:val="24"/>
              </w:rPr>
            </m:ctrlPr>
          </m:sPrePr>
          <m:sub>
            <m:r>
              <w:rPr>
                <w:rFonts w:ascii="Cambria Math" w:hAnsi="Cambria Math" w:cs="Times New Roman"/>
                <w:sz w:val="24"/>
                <w:szCs w:val="24"/>
              </w:rPr>
              <m:t xml:space="preserve"> </m:t>
            </m:r>
          </m:sub>
          <m:sup>
            <m:r>
              <w:rPr>
                <w:rFonts w:ascii="Cambria Math" w:hAnsi="Cambria Math" w:cs="Times New Roman"/>
                <w:sz w:val="24"/>
                <w:szCs w:val="24"/>
              </w:rPr>
              <m:t>r</m:t>
            </m:r>
          </m:sup>
          <m:e>
            <m:sSubSup>
              <m:sSubSupPr>
                <m:ctrlPr>
                  <w:rPr>
                    <w:rFonts w:ascii="Cambria Math" w:hAnsi="Cambria Math" w:cs="Times New Roman"/>
                    <w:i/>
                    <w:sz w:val="24"/>
                    <w:szCs w:val="24"/>
                  </w:rPr>
                </m:ctrlPr>
              </m:sSubSupPr>
              <m:e>
                <m:r>
                  <w:rPr>
                    <w:rFonts w:ascii="Cambria Math" w:hAnsi="Cambria Math" w:cs="Times New Roman"/>
                    <w:sz w:val="24"/>
                    <w:szCs w:val="24"/>
                  </w:rPr>
                  <m:t>(AAL)</m:t>
                </m:r>
              </m:e>
              <m:sub>
                <m:r>
                  <w:rPr>
                    <w:rFonts w:ascii="Cambria Math" w:hAnsi="Cambria Math" w:cs="Times New Roman"/>
                    <w:sz w:val="24"/>
                    <w:szCs w:val="24"/>
                  </w:rPr>
                  <m:t>x</m:t>
                </m:r>
              </m:sub>
              <m:sup>
                <m:r>
                  <w:rPr>
                    <w:rFonts w:ascii="Cambria Math" w:hAnsi="Cambria Math" w:cs="Times New Roman"/>
                    <w:sz w:val="24"/>
                    <w:szCs w:val="24"/>
                  </w:rPr>
                  <m:t>EAN</m:t>
                </m:r>
              </m:sup>
            </m:sSubSup>
          </m:e>
        </m:sPre>
      </m:oMath>
      <w:r w:rsidR="002629C2" w:rsidRPr="00B70B1A">
        <w:rPr>
          <w:rFonts w:ascii="Times New Roman" w:hAnsi="Times New Roman" w:cs="Times New Roman"/>
          <w:sz w:val="24"/>
          <w:szCs w:val="24"/>
        </w:rPr>
        <w:t xml:space="preserve"> </w:t>
      </w:r>
      <w:proofErr w:type="gramStart"/>
      <w:r w:rsidR="002629C2" w:rsidRPr="00B70B1A">
        <w:rPr>
          <w:rFonts w:ascii="Times New Roman" w:hAnsi="Times New Roman" w:cs="Times New Roman"/>
          <w:sz w:val="24"/>
          <w:szCs w:val="24"/>
        </w:rPr>
        <w:t>is</w:t>
      </w:r>
      <w:proofErr w:type="gramEnd"/>
      <w:r w:rsidR="002629C2" w:rsidRPr="00B70B1A">
        <w:rPr>
          <w:rFonts w:ascii="Times New Roman" w:hAnsi="Times New Roman" w:cs="Times New Roman"/>
          <w:sz w:val="24"/>
          <w:szCs w:val="24"/>
        </w:rPr>
        <w:t xml:space="preserve"> </w:t>
      </w:r>
      <w:r w:rsidR="00AB5035" w:rsidRPr="00B70B1A">
        <w:rPr>
          <w:rFonts w:ascii="Times New Roman" w:hAnsi="Times New Roman" w:cs="Times New Roman"/>
          <w:sz w:val="24"/>
          <w:szCs w:val="24"/>
        </w:rPr>
        <w:t xml:space="preserve">the </w:t>
      </w:r>
      <w:r w:rsidR="002629C2" w:rsidRPr="00B70B1A">
        <w:rPr>
          <w:rFonts w:ascii="Times New Roman" w:hAnsi="Times New Roman" w:cs="Times New Roman"/>
          <w:sz w:val="24"/>
          <w:szCs w:val="24"/>
        </w:rPr>
        <w:t xml:space="preserve">AAL at the age of </w:t>
      </w:r>
      <w:r w:rsidR="002629C2" w:rsidRPr="00B70B1A">
        <w:rPr>
          <w:rFonts w:ascii="Times New Roman" w:hAnsi="Times New Roman" w:cs="Times New Roman"/>
          <w:i/>
          <w:sz w:val="24"/>
          <w:szCs w:val="24"/>
        </w:rPr>
        <w:t>x</w:t>
      </w:r>
      <w:r w:rsidR="002629C2" w:rsidRPr="00B70B1A">
        <w:rPr>
          <w:rFonts w:ascii="Times New Roman" w:hAnsi="Times New Roman" w:cs="Times New Roman"/>
          <w:sz w:val="24"/>
          <w:szCs w:val="24"/>
        </w:rPr>
        <w:t xml:space="preserve"> with the assumed retirement age of </w:t>
      </w:r>
      <w:r w:rsidR="002629C2" w:rsidRPr="00B70B1A">
        <w:rPr>
          <w:rFonts w:ascii="Times New Roman" w:hAnsi="Times New Roman" w:cs="Times New Roman"/>
          <w:i/>
          <w:sz w:val="24"/>
          <w:szCs w:val="24"/>
        </w:rPr>
        <w:t xml:space="preserve">r </w:t>
      </w:r>
      <w:r w:rsidR="002629C2" w:rsidRPr="00B70B1A">
        <w:rPr>
          <w:rFonts w:ascii="Times New Roman" w:hAnsi="Times New Roman" w:cs="Times New Roman"/>
          <w:sz w:val="24"/>
          <w:szCs w:val="24"/>
        </w:rPr>
        <w:t>under EAN method</w:t>
      </w:r>
      <w:r w:rsidR="00764310" w:rsidRPr="00B70B1A">
        <w:rPr>
          <w:rFonts w:ascii="Times New Roman" w:hAnsi="Times New Roman" w:cs="Times New Roman"/>
          <w:sz w:val="24"/>
          <w:szCs w:val="24"/>
        </w:rPr>
        <w:t>.</w:t>
      </w:r>
    </w:p>
    <w:p w14:paraId="20D54439" w14:textId="03261589" w:rsidR="002629C2" w:rsidRPr="00B70B1A" w:rsidRDefault="008E21C0" w:rsidP="002629C2">
      <w:pPr>
        <w:spacing w:after="0" w:line="240" w:lineRule="auto"/>
        <w:contextualSpacing/>
        <w:rPr>
          <w:rFonts w:ascii="Times New Roman" w:hAnsi="Times New Roman" w:cs="Times New Roman"/>
          <w:sz w:val="24"/>
          <w:szCs w:val="24"/>
        </w:rPr>
      </w:pPr>
      <m:oMath>
        <m:sPre>
          <m:sPrePr>
            <m:ctrlPr>
              <w:rPr>
                <w:rFonts w:ascii="Cambria Math" w:hAnsi="Cambria Math" w:cs="Times New Roman"/>
                <w:i/>
                <w:sz w:val="24"/>
                <w:szCs w:val="24"/>
              </w:rPr>
            </m:ctrlPr>
          </m:sPrePr>
          <m:sub>
            <m:r>
              <w:rPr>
                <w:rFonts w:ascii="Cambria Math" w:hAnsi="Cambria Math" w:cs="Times New Roman"/>
                <w:sz w:val="24"/>
                <w:szCs w:val="24"/>
              </w:rPr>
              <m:t xml:space="preserve"> </m:t>
            </m:r>
          </m:sub>
          <m:sup>
            <m:r>
              <w:rPr>
                <w:rFonts w:ascii="Cambria Math" w:hAnsi="Cambria Math" w:cs="Times New Roman"/>
                <w:sz w:val="24"/>
                <w:szCs w:val="24"/>
              </w:rPr>
              <m:t>r</m:t>
            </m:r>
          </m:sup>
          <m:e>
            <m:sSubSup>
              <m:sSubSupPr>
                <m:ctrlPr>
                  <w:rPr>
                    <w:rFonts w:ascii="Cambria Math" w:hAnsi="Cambria Math" w:cs="Times New Roman"/>
                    <w:i/>
                    <w:sz w:val="24"/>
                    <w:szCs w:val="24"/>
                  </w:rPr>
                </m:ctrlPr>
              </m:sSubSupPr>
              <m:e>
                <m:r>
                  <w:rPr>
                    <w:rFonts w:ascii="Cambria Math" w:hAnsi="Cambria Math" w:cs="Times New Roman"/>
                    <w:sz w:val="24"/>
                    <w:szCs w:val="24"/>
                  </w:rPr>
                  <m:t>(AAL)</m:t>
                </m:r>
              </m:e>
              <m:sub>
                <m:r>
                  <w:rPr>
                    <w:rFonts w:ascii="Cambria Math" w:hAnsi="Cambria Math" w:cs="Times New Roman"/>
                    <w:sz w:val="24"/>
                    <w:szCs w:val="24"/>
                  </w:rPr>
                  <m:t>x</m:t>
                </m:r>
              </m:sub>
              <m:sup>
                <m:r>
                  <w:rPr>
                    <w:rFonts w:ascii="Cambria Math" w:hAnsi="Cambria Math" w:cs="Times New Roman"/>
                    <w:sz w:val="24"/>
                    <w:szCs w:val="24"/>
                  </w:rPr>
                  <m:t>PUC</m:t>
                </m:r>
              </m:sup>
            </m:sSubSup>
          </m:e>
        </m:sPre>
      </m:oMath>
      <w:r w:rsidR="002629C2" w:rsidRPr="00B70B1A">
        <w:rPr>
          <w:rFonts w:ascii="Times New Roman" w:hAnsi="Times New Roman" w:cs="Times New Roman"/>
          <w:sz w:val="24"/>
          <w:szCs w:val="24"/>
        </w:rPr>
        <w:t xml:space="preserve"> </w:t>
      </w:r>
      <w:proofErr w:type="gramStart"/>
      <w:r w:rsidR="002629C2" w:rsidRPr="00B70B1A">
        <w:rPr>
          <w:rFonts w:ascii="Times New Roman" w:hAnsi="Times New Roman" w:cs="Times New Roman"/>
          <w:sz w:val="24"/>
          <w:szCs w:val="24"/>
        </w:rPr>
        <w:t>is</w:t>
      </w:r>
      <w:proofErr w:type="gramEnd"/>
      <w:r w:rsidR="002629C2" w:rsidRPr="00B70B1A">
        <w:rPr>
          <w:rFonts w:ascii="Times New Roman" w:hAnsi="Times New Roman" w:cs="Times New Roman"/>
          <w:sz w:val="24"/>
          <w:szCs w:val="24"/>
        </w:rPr>
        <w:t xml:space="preserve"> the AAL at the age of </w:t>
      </w:r>
      <w:r w:rsidR="002629C2" w:rsidRPr="00B70B1A">
        <w:rPr>
          <w:rFonts w:ascii="Times New Roman" w:hAnsi="Times New Roman" w:cs="Times New Roman"/>
          <w:i/>
          <w:sz w:val="24"/>
          <w:szCs w:val="24"/>
        </w:rPr>
        <w:t>x</w:t>
      </w:r>
      <w:r w:rsidR="002629C2" w:rsidRPr="00B70B1A">
        <w:rPr>
          <w:rFonts w:ascii="Times New Roman" w:hAnsi="Times New Roman" w:cs="Times New Roman"/>
          <w:sz w:val="24"/>
          <w:szCs w:val="24"/>
        </w:rPr>
        <w:t xml:space="preserve"> with the assumed retirement age of </w:t>
      </w:r>
      <w:r w:rsidR="002629C2" w:rsidRPr="00B70B1A">
        <w:rPr>
          <w:rFonts w:ascii="Times New Roman" w:hAnsi="Times New Roman" w:cs="Times New Roman"/>
          <w:i/>
          <w:sz w:val="24"/>
          <w:szCs w:val="24"/>
        </w:rPr>
        <w:t>r</w:t>
      </w:r>
      <w:r w:rsidR="002629C2" w:rsidRPr="00B70B1A">
        <w:rPr>
          <w:rFonts w:ascii="Times New Roman" w:hAnsi="Times New Roman" w:cs="Times New Roman"/>
          <w:sz w:val="24"/>
          <w:szCs w:val="24"/>
        </w:rPr>
        <w:t xml:space="preserve"> under PUC method</w:t>
      </w:r>
      <w:r w:rsidR="00764310" w:rsidRPr="00B70B1A">
        <w:rPr>
          <w:rFonts w:ascii="Times New Roman" w:hAnsi="Times New Roman" w:cs="Times New Roman"/>
          <w:sz w:val="24"/>
          <w:szCs w:val="24"/>
        </w:rPr>
        <w:t>.</w:t>
      </w:r>
    </w:p>
    <w:p w14:paraId="30A6F974" w14:textId="25F072F6" w:rsidR="002629C2" w:rsidRPr="00B70B1A" w:rsidRDefault="002629C2" w:rsidP="002629C2">
      <w:pPr>
        <w:spacing w:after="0" w:line="240" w:lineRule="auto"/>
        <w:contextualSpacing/>
        <w:rPr>
          <w:rFonts w:ascii="Times New Roman" w:hAnsi="Times New Roman" w:cs="Times New Roman"/>
          <w:sz w:val="24"/>
          <w:szCs w:val="24"/>
        </w:rPr>
      </w:pPr>
      <w:proofErr w:type="gramStart"/>
      <w:r w:rsidRPr="00B70B1A">
        <w:rPr>
          <w:rFonts w:ascii="Times New Roman" w:hAnsi="Times New Roman" w:cs="Times New Roman"/>
          <w:i/>
          <w:sz w:val="24"/>
          <w:szCs w:val="24"/>
        </w:rPr>
        <w:t>x</w:t>
      </w:r>
      <w:proofErr w:type="gramEnd"/>
      <w:r w:rsidRPr="00B70B1A">
        <w:rPr>
          <w:rFonts w:ascii="Times New Roman" w:hAnsi="Times New Roman" w:cs="Times New Roman"/>
          <w:i/>
          <w:sz w:val="24"/>
          <w:szCs w:val="24"/>
        </w:rPr>
        <w:t xml:space="preserve"> </w:t>
      </w:r>
      <w:r w:rsidRPr="00B70B1A">
        <w:rPr>
          <w:rFonts w:ascii="Times New Roman" w:hAnsi="Times New Roman" w:cs="Times New Roman"/>
          <w:sz w:val="24"/>
          <w:szCs w:val="24"/>
        </w:rPr>
        <w:t>is the current age, which varies according to different employees at a certain year</w:t>
      </w:r>
      <w:r w:rsidR="00764310" w:rsidRPr="00B70B1A">
        <w:rPr>
          <w:rFonts w:ascii="Times New Roman" w:hAnsi="Times New Roman" w:cs="Times New Roman"/>
          <w:sz w:val="24"/>
          <w:szCs w:val="24"/>
        </w:rPr>
        <w:t>.</w:t>
      </w:r>
      <w:r w:rsidRPr="00B70B1A">
        <w:rPr>
          <w:rFonts w:ascii="Times New Roman" w:hAnsi="Times New Roman" w:cs="Times New Roman"/>
          <w:sz w:val="24"/>
          <w:szCs w:val="24"/>
        </w:rPr>
        <w:t xml:space="preserve"> </w:t>
      </w:r>
    </w:p>
    <w:p w14:paraId="6AAB7B6D" w14:textId="77777777" w:rsidR="00764310" w:rsidRPr="00B70B1A" w:rsidRDefault="002629C2" w:rsidP="002629C2">
      <w:pPr>
        <w:spacing w:after="0" w:line="240" w:lineRule="auto"/>
        <w:contextualSpacing/>
        <w:rPr>
          <w:rFonts w:ascii="Times New Roman" w:hAnsi="Times New Roman" w:cs="Times New Roman"/>
          <w:sz w:val="24"/>
          <w:szCs w:val="24"/>
        </w:rPr>
      </w:pPr>
      <w:proofErr w:type="gramStart"/>
      <w:r w:rsidRPr="00B70B1A">
        <w:rPr>
          <w:rFonts w:ascii="Times New Roman" w:hAnsi="Times New Roman" w:cs="Times New Roman"/>
          <w:i/>
          <w:sz w:val="24"/>
          <w:szCs w:val="24"/>
        </w:rPr>
        <w:t>y</w:t>
      </w:r>
      <w:proofErr w:type="gramEnd"/>
      <w:r w:rsidRPr="00B70B1A">
        <w:rPr>
          <w:rFonts w:ascii="Times New Roman" w:hAnsi="Times New Roman" w:cs="Times New Roman"/>
          <w:sz w:val="24"/>
          <w:szCs w:val="24"/>
        </w:rPr>
        <w:t xml:space="preserve"> is the entry age, which is assumed to be 30</w:t>
      </w:r>
      <w:r w:rsidR="00764310" w:rsidRPr="00B70B1A">
        <w:rPr>
          <w:rFonts w:ascii="Times New Roman" w:hAnsi="Times New Roman" w:cs="Times New Roman"/>
          <w:sz w:val="24"/>
          <w:szCs w:val="24"/>
        </w:rPr>
        <w:t>.</w:t>
      </w:r>
    </w:p>
    <w:p w14:paraId="2E74862C" w14:textId="4FAAF477" w:rsidR="002629C2" w:rsidRPr="00B70B1A" w:rsidRDefault="002629C2" w:rsidP="002629C2">
      <w:pPr>
        <w:spacing w:after="0" w:line="240" w:lineRule="auto"/>
        <w:contextualSpacing/>
        <w:rPr>
          <w:rFonts w:ascii="Times New Roman" w:hAnsi="Times New Roman" w:cs="Times New Roman"/>
          <w:sz w:val="24"/>
          <w:szCs w:val="24"/>
        </w:rPr>
      </w:pPr>
      <w:proofErr w:type="gramStart"/>
      <w:r w:rsidRPr="00B70B1A">
        <w:rPr>
          <w:rFonts w:ascii="Times New Roman" w:hAnsi="Times New Roman" w:cs="Times New Roman"/>
          <w:i/>
          <w:sz w:val="24"/>
          <w:szCs w:val="24"/>
        </w:rPr>
        <w:t>r</w:t>
      </w:r>
      <w:proofErr w:type="gramEnd"/>
      <w:r w:rsidRPr="00B70B1A">
        <w:rPr>
          <w:rFonts w:ascii="Times New Roman" w:hAnsi="Times New Roman" w:cs="Times New Roman"/>
          <w:sz w:val="24"/>
          <w:szCs w:val="24"/>
        </w:rPr>
        <w:t xml:space="preserve"> is the retirement age, which is assumed to be 65.</w:t>
      </w:r>
    </w:p>
    <w:p w14:paraId="474C1230" w14:textId="77777777" w:rsidR="002629C2" w:rsidRPr="00B70B1A" w:rsidRDefault="008E21C0" w:rsidP="002629C2">
      <w:pPr>
        <w:spacing w:after="0" w:line="240" w:lineRule="auto"/>
        <w:contextualSpacing/>
        <w:rPr>
          <w:rFonts w:ascii="Times New Roman" w:hAnsi="Times New Roman" w:cs="Times New Roman"/>
          <w:sz w:val="24"/>
          <w:szCs w:val="24"/>
        </w:rPr>
      </w:pPr>
      <m:oMath>
        <m:sPre>
          <m:sPrePr>
            <m:ctrlPr>
              <w:rPr>
                <w:rFonts w:ascii="Cambria Math" w:hAnsi="Cambria Math" w:cs="Times New Roman"/>
                <w:i/>
                <w:sz w:val="24"/>
                <w:szCs w:val="24"/>
              </w:rPr>
            </m:ctrlPr>
          </m:sPrePr>
          <m:sub>
            <m:r>
              <w:rPr>
                <w:rFonts w:ascii="Cambria Math" w:hAnsi="Cambria Math" w:cs="Times New Roman"/>
                <w:sz w:val="24"/>
                <w:szCs w:val="24"/>
              </w:rPr>
              <m:t xml:space="preserve"> </m:t>
            </m:r>
          </m:sub>
          <m:sup>
            <m:r>
              <w:rPr>
                <w:rFonts w:ascii="Cambria Math" w:hAnsi="Cambria Math" w:cs="Times New Roman"/>
                <w:sz w:val="24"/>
                <w:szCs w:val="24"/>
              </w:rPr>
              <m:t>r</m:t>
            </m:r>
          </m:sup>
          <m:e>
            <m:sSub>
              <m:sSubPr>
                <m:ctrlPr>
                  <w:rPr>
                    <w:rFonts w:ascii="Cambria Math" w:hAnsi="Cambria Math" w:cs="Times New Roman"/>
                    <w:i/>
                    <w:sz w:val="24"/>
                    <w:szCs w:val="24"/>
                  </w:rPr>
                </m:ctrlPr>
              </m:sSubPr>
              <m:e>
                <m:r>
                  <w:rPr>
                    <w:rFonts w:ascii="Cambria Math" w:hAnsi="Cambria Math" w:cs="Times New Roman"/>
                    <w:sz w:val="24"/>
                    <w:szCs w:val="24"/>
                  </w:rPr>
                  <m:t>(PVFB)</m:t>
                </m:r>
              </m:e>
              <m:sub>
                <m:r>
                  <w:rPr>
                    <w:rFonts w:ascii="Cambria Math" w:hAnsi="Cambria Math" w:cs="Times New Roman"/>
                    <w:sz w:val="24"/>
                    <w:szCs w:val="24"/>
                  </w:rPr>
                  <m:t>x</m:t>
                </m:r>
              </m:sub>
            </m:sSub>
          </m:e>
        </m:sPre>
      </m:oMath>
      <w:r w:rsidR="002629C2" w:rsidRPr="00B70B1A">
        <w:rPr>
          <w:rFonts w:ascii="Times New Roman" w:hAnsi="Times New Roman" w:cs="Times New Roman"/>
          <w:sz w:val="24"/>
          <w:szCs w:val="24"/>
        </w:rPr>
        <w:t xml:space="preserve"> </w:t>
      </w:r>
      <w:proofErr w:type="gramStart"/>
      <w:r w:rsidR="002629C2" w:rsidRPr="00B70B1A">
        <w:rPr>
          <w:rFonts w:ascii="Times New Roman" w:hAnsi="Times New Roman" w:cs="Times New Roman"/>
          <w:sz w:val="24"/>
          <w:szCs w:val="24"/>
        </w:rPr>
        <w:t>is</w:t>
      </w:r>
      <w:proofErr w:type="gramEnd"/>
      <w:r w:rsidR="002629C2" w:rsidRPr="00B70B1A">
        <w:rPr>
          <w:rFonts w:ascii="Times New Roman" w:hAnsi="Times New Roman" w:cs="Times New Roman"/>
          <w:sz w:val="24"/>
          <w:szCs w:val="24"/>
        </w:rPr>
        <w:t xml:space="preserve"> the present value of all future benefits at the age of x with the assumed retirement age of </w:t>
      </w:r>
      <w:r w:rsidR="002629C2" w:rsidRPr="00B70B1A">
        <w:rPr>
          <w:rFonts w:ascii="Times New Roman" w:hAnsi="Times New Roman" w:cs="Times New Roman"/>
          <w:i/>
          <w:sz w:val="24"/>
          <w:szCs w:val="24"/>
        </w:rPr>
        <w:t>r</w:t>
      </w:r>
      <w:r w:rsidR="002629C2" w:rsidRPr="00B70B1A">
        <w:rPr>
          <w:rFonts w:ascii="Times New Roman" w:hAnsi="Times New Roman" w:cs="Times New Roman"/>
          <w:sz w:val="24"/>
          <w:szCs w:val="24"/>
        </w:rPr>
        <w:t>. The value is calculated based on the discount rate (discount factor) and the expected salary growth rate.</w:t>
      </w:r>
    </w:p>
    <w:p w14:paraId="4C628ADC" w14:textId="77777777" w:rsidR="002629C2" w:rsidRPr="00B70B1A" w:rsidRDefault="008E21C0" w:rsidP="002629C2">
      <w:pPr>
        <w:spacing w:after="0" w:line="240" w:lineRule="auto"/>
        <w:contextualSpacing/>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x</m:t>
            </m:r>
          </m:sub>
        </m:sSub>
      </m:oMath>
      <w:r w:rsidR="002629C2" w:rsidRPr="00B70B1A">
        <w:rPr>
          <w:rFonts w:ascii="Times New Roman" w:hAnsi="Times New Roman" w:cs="Times New Roman"/>
          <w:sz w:val="24"/>
          <w:szCs w:val="24"/>
        </w:rPr>
        <w:t xml:space="preserve"> </w:t>
      </w:r>
      <w:proofErr w:type="gramStart"/>
      <w:r w:rsidR="002629C2" w:rsidRPr="00B70B1A">
        <w:rPr>
          <w:rFonts w:ascii="Times New Roman" w:hAnsi="Times New Roman" w:cs="Times New Roman"/>
          <w:sz w:val="24"/>
          <w:szCs w:val="24"/>
        </w:rPr>
        <w:t>is</w:t>
      </w:r>
      <w:proofErr w:type="gramEnd"/>
      <w:r w:rsidR="002629C2" w:rsidRPr="00B70B1A">
        <w:rPr>
          <w:rFonts w:ascii="Times New Roman" w:hAnsi="Times New Roman" w:cs="Times New Roman"/>
          <w:sz w:val="24"/>
          <w:szCs w:val="24"/>
        </w:rPr>
        <w:t xml:space="preserve"> the salary at the age of </w:t>
      </w:r>
      <w:r w:rsidR="002629C2" w:rsidRPr="00B70B1A">
        <w:rPr>
          <w:rFonts w:ascii="Times New Roman" w:hAnsi="Times New Roman" w:cs="Times New Roman"/>
          <w:i/>
          <w:sz w:val="24"/>
          <w:szCs w:val="24"/>
        </w:rPr>
        <w:t>x</w:t>
      </w:r>
      <w:r w:rsidR="002629C2" w:rsidRPr="00B70B1A">
        <w:rPr>
          <w:rFonts w:ascii="Times New Roman" w:hAnsi="Times New Roman" w:cs="Times New Roman"/>
          <w:sz w:val="24"/>
          <w:szCs w:val="24"/>
        </w:rPr>
        <w:t>.</w:t>
      </w:r>
    </w:p>
    <w:p w14:paraId="7B760870" w14:textId="77777777" w:rsidR="002629C2" w:rsidRPr="00B70B1A" w:rsidRDefault="008E21C0" w:rsidP="002629C2">
      <w:pPr>
        <w:spacing w:after="0" w:line="240" w:lineRule="auto"/>
        <w:contextualSpacing/>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y</m:t>
            </m:r>
          </m:sub>
        </m:sSub>
      </m:oMath>
      <w:r w:rsidR="002629C2" w:rsidRPr="00B70B1A">
        <w:rPr>
          <w:rFonts w:ascii="Times New Roman" w:hAnsi="Times New Roman" w:cs="Times New Roman"/>
          <w:sz w:val="24"/>
          <w:szCs w:val="24"/>
        </w:rPr>
        <w:t xml:space="preserve"> </w:t>
      </w:r>
      <w:proofErr w:type="gramStart"/>
      <w:r w:rsidR="002629C2" w:rsidRPr="00B70B1A">
        <w:rPr>
          <w:rFonts w:ascii="Times New Roman" w:hAnsi="Times New Roman" w:cs="Times New Roman"/>
          <w:sz w:val="24"/>
          <w:szCs w:val="24"/>
        </w:rPr>
        <w:t>is</w:t>
      </w:r>
      <w:proofErr w:type="gramEnd"/>
      <w:r w:rsidR="002629C2" w:rsidRPr="00B70B1A">
        <w:rPr>
          <w:rFonts w:ascii="Times New Roman" w:hAnsi="Times New Roman" w:cs="Times New Roman"/>
          <w:sz w:val="24"/>
          <w:szCs w:val="24"/>
        </w:rPr>
        <w:t xml:space="preserve"> the salary at the entry age </w:t>
      </w:r>
      <w:r w:rsidR="002629C2" w:rsidRPr="00B70B1A">
        <w:rPr>
          <w:rFonts w:ascii="Times New Roman" w:hAnsi="Times New Roman" w:cs="Times New Roman"/>
          <w:i/>
          <w:sz w:val="24"/>
          <w:szCs w:val="24"/>
        </w:rPr>
        <w:t>y</w:t>
      </w:r>
      <w:r w:rsidR="002629C2" w:rsidRPr="00B70B1A">
        <w:rPr>
          <w:rFonts w:ascii="Times New Roman" w:hAnsi="Times New Roman" w:cs="Times New Roman"/>
          <w:sz w:val="24"/>
          <w:szCs w:val="24"/>
        </w:rPr>
        <w:t>.</w:t>
      </w:r>
    </w:p>
    <w:p w14:paraId="7A2EADD1" w14:textId="77777777" w:rsidR="002629C2" w:rsidRPr="00B70B1A" w:rsidRDefault="008E21C0" w:rsidP="002629C2">
      <w:pPr>
        <w:spacing w:after="0" w:line="240" w:lineRule="auto"/>
        <w:contextualSpacing/>
        <w:rPr>
          <w:rFonts w:ascii="Times New Roman" w:hAnsi="Times New Roman" w:cs="Times New Roman"/>
          <w:sz w:val="24"/>
          <w:szCs w:val="24"/>
        </w:rPr>
      </w:pPr>
      <m:oMath>
        <m:sSubSup>
          <m:sSubSupPr>
            <m:ctrlPr>
              <w:rPr>
                <w:rFonts w:ascii="Cambria Math" w:hAnsi="Cambria Math" w:cs="Times New Roman"/>
                <w:i/>
                <w:sz w:val="24"/>
                <w:szCs w:val="24"/>
              </w:rPr>
            </m:ctrlPr>
          </m:sSubSupPr>
          <m:e>
            <m:sPre>
              <m:sPrePr>
                <m:ctrlPr>
                  <w:rPr>
                    <w:rFonts w:ascii="Cambria Math" w:hAnsi="Cambria Math" w:cs="Times New Roman"/>
                    <w:i/>
                    <w:sz w:val="24"/>
                    <w:szCs w:val="24"/>
                  </w:rPr>
                </m:ctrlPr>
              </m:sPrePr>
              <m:sub>
                <m:r>
                  <w:rPr>
                    <w:rFonts w:ascii="Cambria Math" w:hAnsi="Cambria Math" w:cs="Times New Roman"/>
                    <w:sz w:val="24"/>
                    <w:szCs w:val="24"/>
                  </w:rPr>
                  <m:t>x-y</m:t>
                </m:r>
              </m:sub>
              <m:sup>
                <m:r>
                  <w:rPr>
                    <w:rFonts w:ascii="Cambria Math" w:hAnsi="Cambria Math" w:cs="Times New Roman"/>
                    <w:sz w:val="24"/>
                    <w:szCs w:val="24"/>
                  </w:rPr>
                  <m:t xml:space="preserve"> </m:t>
                </m:r>
              </m:sup>
              <m:e>
                <m:r>
                  <w:rPr>
                    <w:rFonts w:ascii="Cambria Math" w:hAnsi="Cambria Math" w:cs="Times New Roman"/>
                    <w:sz w:val="24"/>
                    <w:szCs w:val="24"/>
                  </w:rPr>
                  <m:t>P</m:t>
                </m:r>
              </m:e>
            </m:sPre>
          </m:e>
          <m:sub>
            <m:r>
              <w:rPr>
                <w:rFonts w:ascii="Cambria Math" w:hAnsi="Cambria Math" w:cs="Times New Roman"/>
                <w:sz w:val="24"/>
                <w:szCs w:val="24"/>
              </w:rPr>
              <m:t>y</m:t>
            </m:r>
          </m:sub>
          <m:sup>
            <m:r>
              <w:rPr>
                <w:rFonts w:ascii="Cambria Math" w:hAnsi="Cambria Math" w:cs="Times New Roman"/>
                <w:sz w:val="24"/>
                <w:szCs w:val="24"/>
              </w:rPr>
              <m:t xml:space="preserve"> </m:t>
            </m:r>
          </m:sup>
        </m:sSubSup>
      </m:oMath>
      <w:r w:rsidR="002629C2" w:rsidRPr="00B70B1A">
        <w:rPr>
          <w:rFonts w:ascii="Times New Roman" w:hAnsi="Times New Roman" w:cs="Times New Roman"/>
          <w:sz w:val="24"/>
          <w:szCs w:val="24"/>
        </w:rPr>
        <w:t xml:space="preserve"> </w:t>
      </w:r>
      <w:proofErr w:type="gramStart"/>
      <w:r w:rsidR="002629C2" w:rsidRPr="00B70B1A">
        <w:rPr>
          <w:rFonts w:ascii="Times New Roman" w:hAnsi="Times New Roman" w:cs="Times New Roman"/>
          <w:sz w:val="24"/>
          <w:szCs w:val="24"/>
        </w:rPr>
        <w:t>is</w:t>
      </w:r>
      <w:proofErr w:type="gramEnd"/>
      <w:r w:rsidR="002629C2" w:rsidRPr="00B70B1A">
        <w:rPr>
          <w:rFonts w:ascii="Times New Roman" w:hAnsi="Times New Roman" w:cs="Times New Roman"/>
          <w:sz w:val="24"/>
          <w:szCs w:val="24"/>
        </w:rPr>
        <w:t xml:space="preserve"> the probability of surviving (</w:t>
      </w:r>
      <w:r w:rsidR="002629C2" w:rsidRPr="00B70B1A">
        <w:rPr>
          <w:rFonts w:ascii="Times New Roman" w:hAnsi="Times New Roman" w:cs="Times New Roman"/>
          <w:i/>
          <w:sz w:val="24"/>
          <w:szCs w:val="24"/>
        </w:rPr>
        <w:t>x</w:t>
      </w:r>
      <w:r w:rsidR="002629C2" w:rsidRPr="00B70B1A">
        <w:rPr>
          <w:rFonts w:ascii="Times New Roman" w:hAnsi="Times New Roman" w:cs="Times New Roman"/>
          <w:sz w:val="24"/>
          <w:szCs w:val="24"/>
        </w:rPr>
        <w:t>-</w:t>
      </w:r>
      <w:r w:rsidR="002629C2" w:rsidRPr="00B70B1A">
        <w:rPr>
          <w:rFonts w:ascii="Times New Roman" w:hAnsi="Times New Roman" w:cs="Times New Roman"/>
          <w:i/>
          <w:sz w:val="24"/>
          <w:szCs w:val="24"/>
        </w:rPr>
        <w:t>y</w:t>
      </w:r>
      <w:r w:rsidR="002629C2" w:rsidRPr="00B70B1A">
        <w:rPr>
          <w:rFonts w:ascii="Times New Roman" w:hAnsi="Times New Roman" w:cs="Times New Roman"/>
          <w:sz w:val="24"/>
          <w:szCs w:val="24"/>
        </w:rPr>
        <w:t xml:space="preserve">) years from the entry age </w:t>
      </w:r>
      <w:r w:rsidR="002629C2" w:rsidRPr="00B70B1A">
        <w:rPr>
          <w:rFonts w:ascii="Times New Roman" w:hAnsi="Times New Roman" w:cs="Times New Roman"/>
          <w:i/>
          <w:sz w:val="24"/>
          <w:szCs w:val="24"/>
        </w:rPr>
        <w:t>y</w:t>
      </w:r>
      <w:r w:rsidR="002629C2" w:rsidRPr="00B70B1A">
        <w:rPr>
          <w:rFonts w:ascii="Times New Roman" w:hAnsi="Times New Roman" w:cs="Times New Roman"/>
          <w:sz w:val="24"/>
          <w:szCs w:val="24"/>
        </w:rPr>
        <w:t xml:space="preserve"> to the current age </w:t>
      </w:r>
      <w:r w:rsidR="002629C2" w:rsidRPr="00B70B1A">
        <w:rPr>
          <w:rFonts w:ascii="Times New Roman" w:hAnsi="Times New Roman" w:cs="Times New Roman"/>
          <w:i/>
          <w:sz w:val="24"/>
          <w:szCs w:val="24"/>
        </w:rPr>
        <w:t>x</w:t>
      </w:r>
      <w:r w:rsidR="002629C2" w:rsidRPr="00B70B1A">
        <w:rPr>
          <w:rFonts w:ascii="Times New Roman" w:hAnsi="Times New Roman" w:cs="Times New Roman"/>
          <w:sz w:val="24"/>
          <w:szCs w:val="24"/>
        </w:rPr>
        <w:t>.</w:t>
      </w:r>
    </w:p>
    <w:p w14:paraId="6BCF11CD" w14:textId="77777777" w:rsidR="002629C2" w:rsidRPr="00B70B1A" w:rsidRDefault="008E21C0" w:rsidP="002629C2">
      <w:pPr>
        <w:spacing w:after="0" w:line="240" w:lineRule="auto"/>
        <w:contextualSpacing/>
        <w:rPr>
          <w:rFonts w:ascii="Times New Roman" w:hAnsi="Times New Roman" w:cs="Times New Roman"/>
          <w:sz w:val="24"/>
          <w:szCs w:val="24"/>
        </w:rPr>
      </w:pPr>
      <m:oMath>
        <m:sSup>
          <m:sSupPr>
            <m:ctrlPr>
              <w:rPr>
                <w:rFonts w:ascii="Cambria Math" w:hAnsi="Cambria Math" w:cs="Times New Roman"/>
                <w:i/>
                <w:sz w:val="24"/>
                <w:szCs w:val="24"/>
              </w:rPr>
            </m:ctrlPr>
          </m:sSupPr>
          <m:e>
            <m:r>
              <w:rPr>
                <w:rFonts w:ascii="Cambria Math" w:hAnsi="Cambria Math" w:cs="Times New Roman"/>
                <w:sz w:val="24"/>
                <w:szCs w:val="24"/>
              </w:rPr>
              <m:t>v</m:t>
            </m:r>
          </m:e>
          <m:sup>
            <m:r>
              <w:rPr>
                <w:rFonts w:ascii="Cambria Math" w:hAnsi="Cambria Math" w:cs="Times New Roman"/>
                <w:sz w:val="24"/>
                <w:szCs w:val="24"/>
              </w:rPr>
              <m:t>x-y</m:t>
            </m:r>
          </m:sup>
        </m:sSup>
      </m:oMath>
      <w:r w:rsidR="002629C2" w:rsidRPr="00B70B1A">
        <w:rPr>
          <w:rFonts w:ascii="Times New Roman" w:hAnsi="Times New Roman" w:cs="Times New Roman"/>
          <w:sz w:val="24"/>
          <w:szCs w:val="24"/>
        </w:rPr>
        <w:t xml:space="preserve"> </w:t>
      </w:r>
      <w:proofErr w:type="gramStart"/>
      <w:r w:rsidR="002629C2" w:rsidRPr="00B70B1A">
        <w:rPr>
          <w:rFonts w:ascii="Times New Roman" w:hAnsi="Times New Roman" w:cs="Times New Roman"/>
          <w:sz w:val="24"/>
          <w:szCs w:val="24"/>
        </w:rPr>
        <w:t>is</w:t>
      </w:r>
      <w:proofErr w:type="gramEnd"/>
      <w:r w:rsidR="002629C2" w:rsidRPr="00B70B1A">
        <w:rPr>
          <w:rFonts w:ascii="Times New Roman" w:hAnsi="Times New Roman" w:cs="Times New Roman"/>
          <w:sz w:val="24"/>
          <w:szCs w:val="24"/>
        </w:rPr>
        <w:t xml:space="preserve"> the discount factor from entry age </w:t>
      </w:r>
      <w:r w:rsidR="002629C2" w:rsidRPr="00B70B1A">
        <w:rPr>
          <w:rFonts w:ascii="Times New Roman" w:hAnsi="Times New Roman" w:cs="Times New Roman"/>
          <w:i/>
          <w:sz w:val="24"/>
          <w:szCs w:val="24"/>
        </w:rPr>
        <w:t>y</w:t>
      </w:r>
      <w:r w:rsidR="002629C2" w:rsidRPr="00B70B1A">
        <w:rPr>
          <w:rFonts w:ascii="Times New Roman" w:hAnsi="Times New Roman" w:cs="Times New Roman"/>
          <w:sz w:val="24"/>
          <w:szCs w:val="24"/>
        </w:rPr>
        <w:t xml:space="preserve"> to the current age </w:t>
      </w:r>
      <w:r w:rsidR="002629C2" w:rsidRPr="00B70B1A">
        <w:rPr>
          <w:rFonts w:ascii="Times New Roman" w:hAnsi="Times New Roman" w:cs="Times New Roman"/>
          <w:i/>
          <w:sz w:val="24"/>
          <w:szCs w:val="24"/>
        </w:rPr>
        <w:t>x</w:t>
      </w:r>
      <w:r w:rsidR="002629C2" w:rsidRPr="00B70B1A">
        <w:rPr>
          <w:rFonts w:ascii="Times New Roman" w:hAnsi="Times New Roman" w:cs="Times New Roman"/>
          <w:sz w:val="24"/>
          <w:szCs w:val="24"/>
        </w:rPr>
        <w:t>.</w:t>
      </w:r>
    </w:p>
    <w:p w14:paraId="01EACE74" w14:textId="6060E377" w:rsidR="002629C2" w:rsidRPr="00B70B1A" w:rsidRDefault="008E21C0" w:rsidP="002629C2">
      <w:pPr>
        <w:spacing w:after="0" w:line="240" w:lineRule="auto"/>
        <w:contextualSpacing/>
        <w:rPr>
          <w:rFonts w:ascii="Times New Roman" w:hAnsi="Times New Roman" w:cs="Times New Roman"/>
          <w:sz w:val="24"/>
          <w:szCs w:val="24"/>
        </w:rPr>
      </w:pPr>
      <m:oMath>
        <m:sSubSup>
          <m:sSubSupPr>
            <m:ctrlPr>
              <w:rPr>
                <w:rFonts w:ascii="Cambria Math" w:hAnsi="Cambria Math" w:cs="Times New Roman"/>
                <w:i/>
                <w:sz w:val="24"/>
                <w:szCs w:val="24"/>
              </w:rPr>
            </m:ctrlPr>
          </m:sSubSupPr>
          <m:e>
            <m:sPre>
              <m:sPrePr>
                <m:ctrlPr>
                  <w:rPr>
                    <w:rFonts w:ascii="Cambria Math" w:hAnsi="Cambria Math" w:cs="Times New Roman"/>
                    <w:i/>
                    <w:sz w:val="24"/>
                    <w:szCs w:val="24"/>
                  </w:rPr>
                </m:ctrlPr>
              </m:sPrePr>
              <m:sub>
                <m:r>
                  <w:rPr>
                    <w:rFonts w:ascii="Cambria Math" w:hAnsi="Cambria Math" w:cs="Times New Roman"/>
                    <w:sz w:val="24"/>
                    <w:szCs w:val="24"/>
                  </w:rPr>
                  <m:t xml:space="preserve"> </m:t>
                </m:r>
              </m:sub>
              <m:sup>
                <m:r>
                  <w:rPr>
                    <w:rFonts w:ascii="Cambria Math" w:hAnsi="Cambria Math" w:cs="Times New Roman"/>
                    <w:sz w:val="24"/>
                    <w:szCs w:val="24"/>
                  </w:rPr>
                  <m:t>s</m:t>
                </m:r>
              </m:sup>
              <m:e>
                <m:acc>
                  <m:accPr>
                    <m:chr m:val="̈"/>
                    <m:ctrlPr>
                      <w:rPr>
                        <w:rFonts w:ascii="Cambria Math" w:hAnsi="Cambria Math" w:cs="Times New Roman"/>
                        <w:i/>
                        <w:sz w:val="24"/>
                        <w:szCs w:val="24"/>
                      </w:rPr>
                    </m:ctrlPr>
                  </m:accPr>
                  <m:e>
                    <m:r>
                      <w:rPr>
                        <w:rFonts w:ascii="Cambria Math" w:hAnsi="Cambria Math" w:cs="Times New Roman"/>
                        <w:sz w:val="24"/>
                        <w:szCs w:val="24"/>
                      </w:rPr>
                      <m:t>a</m:t>
                    </m:r>
                  </m:e>
                </m:acc>
              </m:e>
            </m:sPre>
          </m:e>
          <m:sub>
            <m:r>
              <w:rPr>
                <w:rFonts w:ascii="Cambria Math" w:hAnsi="Cambria Math" w:cs="Times New Roman"/>
                <w:sz w:val="24"/>
                <w:szCs w:val="24"/>
              </w:rPr>
              <m:t>y:</m:t>
            </m:r>
            <m:bar>
              <m:barPr>
                <m:pos m:val="top"/>
                <m:ctrlPr>
                  <w:rPr>
                    <w:rFonts w:ascii="Cambria Math" w:hAnsi="Cambria Math" w:cs="Times New Roman"/>
                    <w:i/>
                    <w:sz w:val="24"/>
                    <w:szCs w:val="24"/>
                  </w:rPr>
                </m:ctrlPr>
              </m:barPr>
              <m:e>
                <m:d>
                  <m:dPr>
                    <m:begChr m:val=""/>
                    <m:endChr m:val="|"/>
                    <m:ctrlPr>
                      <w:rPr>
                        <w:rFonts w:ascii="Cambria Math" w:hAnsi="Cambria Math" w:cs="Times New Roman"/>
                        <w:i/>
                        <w:sz w:val="24"/>
                        <w:szCs w:val="24"/>
                      </w:rPr>
                    </m:ctrlPr>
                  </m:dPr>
                  <m:e>
                    <m:r>
                      <w:rPr>
                        <w:rFonts w:ascii="Cambria Math" w:hAnsi="Cambria Math" w:cs="Times New Roman"/>
                        <w:sz w:val="24"/>
                        <w:szCs w:val="24"/>
                      </w:rPr>
                      <m:t>r-y</m:t>
                    </m:r>
                  </m:e>
                </m:d>
              </m:e>
            </m:bar>
          </m:sub>
          <m:sup>
            <m:r>
              <w:rPr>
                <w:rFonts w:ascii="Cambria Math" w:hAnsi="Cambria Math" w:cs="Times New Roman"/>
                <w:sz w:val="24"/>
                <w:szCs w:val="24"/>
              </w:rPr>
              <m:t xml:space="preserve"> </m:t>
            </m:r>
          </m:sup>
        </m:sSubSup>
      </m:oMath>
      <w:r w:rsidR="002629C2" w:rsidRPr="00B70B1A">
        <w:rPr>
          <w:rFonts w:ascii="Times New Roman" w:hAnsi="Times New Roman" w:cs="Times New Roman"/>
          <w:sz w:val="24"/>
          <w:szCs w:val="24"/>
        </w:rPr>
        <w:t xml:space="preserve"> </w:t>
      </w:r>
      <w:proofErr w:type="gramStart"/>
      <w:r w:rsidR="002629C2" w:rsidRPr="00B70B1A">
        <w:rPr>
          <w:rFonts w:ascii="Times New Roman" w:hAnsi="Times New Roman" w:cs="Times New Roman"/>
          <w:sz w:val="24"/>
          <w:szCs w:val="24"/>
        </w:rPr>
        <w:t>is</w:t>
      </w:r>
      <w:proofErr w:type="gramEnd"/>
      <w:r w:rsidR="002629C2" w:rsidRPr="00B70B1A">
        <w:rPr>
          <w:rFonts w:ascii="Times New Roman" w:hAnsi="Times New Roman" w:cs="Times New Roman"/>
          <w:sz w:val="24"/>
          <w:szCs w:val="24"/>
        </w:rPr>
        <w:t xml:space="preserve"> a salary-based annuity factor, which represents the present value of an employee’s future salary from </w:t>
      </w:r>
      <w:r w:rsidR="00AB5035" w:rsidRPr="00B70B1A">
        <w:rPr>
          <w:rFonts w:ascii="Times New Roman" w:hAnsi="Times New Roman" w:cs="Times New Roman"/>
          <w:sz w:val="24"/>
          <w:szCs w:val="24"/>
        </w:rPr>
        <w:t xml:space="preserve">the entry age </w:t>
      </w:r>
      <w:r w:rsidR="00AB5035" w:rsidRPr="00B70B1A">
        <w:rPr>
          <w:rFonts w:ascii="Times New Roman" w:hAnsi="Times New Roman" w:cs="Times New Roman"/>
          <w:i/>
          <w:sz w:val="24"/>
          <w:szCs w:val="24"/>
        </w:rPr>
        <w:t>y</w:t>
      </w:r>
      <w:r w:rsidR="00AB5035" w:rsidRPr="00B70B1A">
        <w:rPr>
          <w:rFonts w:ascii="Times New Roman" w:hAnsi="Times New Roman" w:cs="Times New Roman"/>
          <w:sz w:val="24"/>
          <w:szCs w:val="24"/>
        </w:rPr>
        <w:t xml:space="preserve"> to retirement age </w:t>
      </w:r>
      <w:r w:rsidR="00AB5035" w:rsidRPr="00B70B1A">
        <w:rPr>
          <w:rFonts w:ascii="Times New Roman" w:hAnsi="Times New Roman" w:cs="Times New Roman"/>
          <w:i/>
          <w:sz w:val="24"/>
          <w:szCs w:val="24"/>
        </w:rPr>
        <w:t>r</w:t>
      </w:r>
      <w:r w:rsidR="00AB5035" w:rsidRPr="00B70B1A">
        <w:rPr>
          <w:rFonts w:ascii="Times New Roman" w:hAnsi="Times New Roman" w:cs="Times New Roman"/>
          <w:sz w:val="24"/>
          <w:szCs w:val="24"/>
        </w:rPr>
        <w:t xml:space="preserve">, per unit of salary at age </w:t>
      </w:r>
      <w:r w:rsidR="00AB5035" w:rsidRPr="00B70B1A">
        <w:rPr>
          <w:rFonts w:ascii="Times New Roman" w:hAnsi="Times New Roman" w:cs="Times New Roman"/>
          <w:i/>
          <w:sz w:val="24"/>
          <w:szCs w:val="24"/>
        </w:rPr>
        <w:t>y</w:t>
      </w:r>
      <w:r w:rsidR="00AB5035" w:rsidRPr="00B70B1A">
        <w:rPr>
          <w:rFonts w:ascii="Times New Roman" w:hAnsi="Times New Roman" w:cs="Times New Roman"/>
          <w:sz w:val="24"/>
          <w:szCs w:val="24"/>
        </w:rPr>
        <w:t>.</w:t>
      </w:r>
    </w:p>
    <w:p w14:paraId="27FED7B0" w14:textId="00033C8D" w:rsidR="002629C2" w:rsidRPr="00B70B1A" w:rsidRDefault="008E21C0" w:rsidP="002629C2">
      <w:pPr>
        <w:spacing w:after="0" w:line="240" w:lineRule="auto"/>
        <w:contextualSpacing/>
        <w:rPr>
          <w:rFonts w:ascii="Times New Roman" w:hAnsi="Times New Roman" w:cs="Times New Roman"/>
          <w:sz w:val="24"/>
          <w:szCs w:val="24"/>
        </w:rPr>
      </w:pPr>
      <m:oMath>
        <m:sPre>
          <m:sPrePr>
            <m:ctrlPr>
              <w:rPr>
                <w:rFonts w:ascii="Cambria Math" w:hAnsi="Cambria Math" w:cs="Times New Roman"/>
                <w:i/>
                <w:sz w:val="24"/>
                <w:szCs w:val="24"/>
              </w:rPr>
            </m:ctrlPr>
          </m:sPrePr>
          <m:sub>
            <m:r>
              <w:rPr>
                <w:rFonts w:ascii="Cambria Math" w:hAnsi="Cambria Math" w:cs="Times New Roman"/>
                <w:sz w:val="24"/>
                <w:szCs w:val="24"/>
              </w:rPr>
              <m:t xml:space="preserve"> </m:t>
            </m:r>
          </m:sub>
          <m:sup>
            <m:r>
              <w:rPr>
                <w:rFonts w:ascii="Cambria Math" w:hAnsi="Cambria Math" w:cs="Times New Roman"/>
                <w:sz w:val="24"/>
                <w:szCs w:val="24"/>
              </w:rPr>
              <m:t>s</m:t>
            </m:r>
          </m:sup>
          <m:e>
            <m:sSubSup>
              <m:sSubSupPr>
                <m:ctrlPr>
                  <w:rPr>
                    <w:rFonts w:ascii="Cambria Math" w:hAnsi="Cambria Math" w:cs="Times New Roman"/>
                    <w:i/>
                    <w:sz w:val="24"/>
                    <w:szCs w:val="24"/>
                  </w:rPr>
                </m:ctrlPr>
              </m:sSubSupPr>
              <m:e>
                <m:acc>
                  <m:accPr>
                    <m:chr m:val="̈"/>
                    <m:ctrlPr>
                      <w:rPr>
                        <w:rFonts w:ascii="Cambria Math" w:hAnsi="Cambria Math" w:cs="Times New Roman"/>
                        <w:i/>
                        <w:sz w:val="24"/>
                        <w:szCs w:val="24"/>
                      </w:rPr>
                    </m:ctrlPr>
                  </m:accPr>
                  <m:e>
                    <m:r>
                      <w:rPr>
                        <w:rFonts w:ascii="Cambria Math" w:hAnsi="Cambria Math" w:cs="Times New Roman"/>
                        <w:sz w:val="24"/>
                        <w:szCs w:val="24"/>
                      </w:rPr>
                      <m:t>a</m:t>
                    </m:r>
                  </m:e>
                </m:acc>
              </m:e>
              <m:sub>
                <m:r>
                  <w:rPr>
                    <w:rFonts w:ascii="Cambria Math" w:hAnsi="Cambria Math" w:cs="Times New Roman"/>
                    <w:sz w:val="24"/>
                    <w:szCs w:val="24"/>
                  </w:rPr>
                  <m:t>y:</m:t>
                </m:r>
                <m:bar>
                  <m:barPr>
                    <m:pos m:val="top"/>
                    <m:ctrlPr>
                      <w:rPr>
                        <w:rFonts w:ascii="Cambria Math" w:hAnsi="Cambria Math" w:cs="Times New Roman"/>
                        <w:i/>
                        <w:sz w:val="24"/>
                        <w:szCs w:val="24"/>
                      </w:rPr>
                    </m:ctrlPr>
                  </m:barPr>
                  <m:e>
                    <m:d>
                      <m:dPr>
                        <m:begChr m:val=""/>
                        <m:endChr m:val="|"/>
                        <m:ctrlPr>
                          <w:rPr>
                            <w:rFonts w:ascii="Cambria Math" w:hAnsi="Cambria Math" w:cs="Times New Roman"/>
                            <w:i/>
                            <w:sz w:val="24"/>
                            <w:szCs w:val="24"/>
                          </w:rPr>
                        </m:ctrlPr>
                      </m:dPr>
                      <m:e>
                        <m:r>
                          <w:rPr>
                            <w:rFonts w:ascii="Cambria Math" w:hAnsi="Cambria Math" w:cs="Times New Roman"/>
                            <w:sz w:val="24"/>
                            <w:szCs w:val="24"/>
                          </w:rPr>
                          <m:t>x-y</m:t>
                        </m:r>
                      </m:e>
                    </m:d>
                  </m:e>
                </m:bar>
              </m:sub>
              <m:sup>
                <m:r>
                  <w:rPr>
                    <w:rFonts w:ascii="Cambria Math" w:hAnsi="Cambria Math" w:cs="Times New Roman"/>
                    <w:sz w:val="24"/>
                    <w:szCs w:val="24"/>
                  </w:rPr>
                  <m:t xml:space="preserve"> </m:t>
                </m:r>
              </m:sup>
            </m:sSubSup>
          </m:e>
        </m:sPre>
      </m:oMath>
      <w:r w:rsidR="002629C2" w:rsidRPr="00B70B1A">
        <w:rPr>
          <w:rFonts w:ascii="Times New Roman" w:hAnsi="Times New Roman" w:cs="Times New Roman"/>
          <w:sz w:val="24"/>
          <w:szCs w:val="24"/>
        </w:rPr>
        <w:t xml:space="preserve"> </w:t>
      </w:r>
      <w:proofErr w:type="gramStart"/>
      <w:r w:rsidR="002629C2" w:rsidRPr="00B70B1A">
        <w:rPr>
          <w:rFonts w:ascii="Times New Roman" w:hAnsi="Times New Roman" w:cs="Times New Roman"/>
          <w:sz w:val="24"/>
          <w:szCs w:val="24"/>
        </w:rPr>
        <w:t>is</w:t>
      </w:r>
      <w:proofErr w:type="gramEnd"/>
      <w:r w:rsidR="002629C2" w:rsidRPr="00B70B1A">
        <w:rPr>
          <w:rFonts w:ascii="Times New Roman" w:hAnsi="Times New Roman" w:cs="Times New Roman"/>
          <w:sz w:val="24"/>
          <w:szCs w:val="24"/>
        </w:rPr>
        <w:t xml:space="preserve"> a salary-based annuity factor, which represents the present value of an employee’s future salary from </w:t>
      </w:r>
      <w:r w:rsidR="00AB5035" w:rsidRPr="00B70B1A">
        <w:rPr>
          <w:rFonts w:ascii="Times New Roman" w:hAnsi="Times New Roman" w:cs="Times New Roman"/>
          <w:sz w:val="24"/>
          <w:szCs w:val="24"/>
        </w:rPr>
        <w:t xml:space="preserve">the entry age </w:t>
      </w:r>
      <w:r w:rsidR="00AB5035" w:rsidRPr="00B70B1A">
        <w:rPr>
          <w:rFonts w:ascii="Times New Roman" w:hAnsi="Times New Roman" w:cs="Times New Roman"/>
          <w:i/>
          <w:sz w:val="24"/>
          <w:szCs w:val="24"/>
        </w:rPr>
        <w:t>y</w:t>
      </w:r>
      <w:r w:rsidR="00AB5035" w:rsidRPr="00B70B1A">
        <w:rPr>
          <w:rFonts w:ascii="Times New Roman" w:hAnsi="Times New Roman" w:cs="Times New Roman"/>
          <w:sz w:val="24"/>
          <w:szCs w:val="24"/>
        </w:rPr>
        <w:t xml:space="preserve"> to current age </w:t>
      </w:r>
      <w:r w:rsidR="00AB5035" w:rsidRPr="00B70B1A">
        <w:rPr>
          <w:rFonts w:ascii="Times New Roman" w:hAnsi="Times New Roman" w:cs="Times New Roman"/>
          <w:i/>
          <w:sz w:val="24"/>
          <w:szCs w:val="24"/>
        </w:rPr>
        <w:t>x</w:t>
      </w:r>
      <w:r w:rsidR="00AB5035" w:rsidRPr="00B70B1A">
        <w:rPr>
          <w:rFonts w:ascii="Times New Roman" w:hAnsi="Times New Roman" w:cs="Times New Roman"/>
          <w:sz w:val="24"/>
          <w:szCs w:val="24"/>
        </w:rPr>
        <w:t xml:space="preserve">, per unit of salary at age </w:t>
      </w:r>
      <w:r w:rsidR="00AB5035" w:rsidRPr="00B70B1A">
        <w:rPr>
          <w:rFonts w:ascii="Times New Roman" w:hAnsi="Times New Roman" w:cs="Times New Roman"/>
          <w:i/>
          <w:sz w:val="24"/>
          <w:szCs w:val="24"/>
        </w:rPr>
        <w:t>y</w:t>
      </w:r>
      <w:r w:rsidR="00AB5035" w:rsidRPr="00B70B1A">
        <w:rPr>
          <w:rFonts w:ascii="Times New Roman" w:hAnsi="Times New Roman" w:cs="Times New Roman"/>
          <w:sz w:val="24"/>
          <w:szCs w:val="24"/>
        </w:rPr>
        <w:t>.</w:t>
      </w:r>
    </w:p>
    <w:p w14:paraId="76A54078" w14:textId="77777777" w:rsidR="002629C2" w:rsidRPr="00B70B1A" w:rsidRDefault="008E21C0" w:rsidP="002629C2">
      <w:pPr>
        <w:spacing w:after="0" w:line="240" w:lineRule="auto"/>
        <w:contextualSpacing/>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Funding ratio</m:t>
            </m:r>
          </m:e>
          <m:sub>
            <m:r>
              <w:rPr>
                <w:rFonts w:ascii="Cambria Math" w:hAnsi="Cambria Math" w:cs="Times New Roman"/>
                <w:sz w:val="24"/>
                <w:szCs w:val="24"/>
              </w:rPr>
              <m:t>t</m:t>
            </m:r>
          </m:sub>
        </m:sSub>
      </m:oMath>
      <w:r w:rsidR="002629C2" w:rsidRPr="00B70B1A">
        <w:rPr>
          <w:rFonts w:ascii="Times New Roman" w:hAnsi="Times New Roman" w:cs="Times New Roman"/>
          <w:sz w:val="24"/>
          <w:szCs w:val="24"/>
        </w:rPr>
        <w:t xml:space="preserve"> </w:t>
      </w:r>
      <w:proofErr w:type="gramStart"/>
      <w:r w:rsidR="002629C2" w:rsidRPr="00B70B1A">
        <w:rPr>
          <w:rFonts w:ascii="Times New Roman" w:hAnsi="Times New Roman" w:cs="Times New Roman"/>
          <w:sz w:val="24"/>
          <w:szCs w:val="24"/>
        </w:rPr>
        <w:t>is</w:t>
      </w:r>
      <w:proofErr w:type="gramEnd"/>
      <w:r w:rsidR="002629C2" w:rsidRPr="00B70B1A">
        <w:rPr>
          <w:rFonts w:ascii="Times New Roman" w:hAnsi="Times New Roman" w:cs="Times New Roman"/>
          <w:sz w:val="24"/>
          <w:szCs w:val="24"/>
        </w:rPr>
        <w:t xml:space="preserve"> the funding ratio for a plan at </w:t>
      </w:r>
      <w:r w:rsidR="002629C2" w:rsidRPr="00B70B1A">
        <w:rPr>
          <w:rFonts w:ascii="Times New Roman" w:hAnsi="Times New Roman" w:cs="Times New Roman"/>
          <w:i/>
          <w:sz w:val="24"/>
          <w:szCs w:val="24"/>
        </w:rPr>
        <w:t>t</w:t>
      </w:r>
      <w:r w:rsidR="002629C2" w:rsidRPr="00B70B1A">
        <w:rPr>
          <w:rFonts w:ascii="Times New Roman" w:hAnsi="Times New Roman" w:cs="Times New Roman"/>
          <w:sz w:val="24"/>
          <w:szCs w:val="24"/>
        </w:rPr>
        <w:t xml:space="preserve"> time period.</w:t>
      </w:r>
    </w:p>
    <w:p w14:paraId="3CA74204" w14:textId="53A37EAA" w:rsidR="002629C2" w:rsidRPr="00B70B1A" w:rsidRDefault="008E21C0" w:rsidP="002629C2">
      <w:pPr>
        <w:spacing w:after="0" w:line="240" w:lineRule="auto"/>
        <w:contextualSpacing/>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As</m:t>
            </m:r>
            <m:r>
              <w:rPr>
                <w:rFonts w:ascii="Cambria Math" w:hAnsi="Cambria Math" w:cs="Times New Roman"/>
                <w:sz w:val="24"/>
                <w:szCs w:val="24"/>
              </w:rPr>
              <m:t>set</m:t>
            </m:r>
          </m:e>
          <m:sub>
            <m:r>
              <w:rPr>
                <w:rFonts w:ascii="Cambria Math" w:hAnsi="Cambria Math" w:cs="Times New Roman"/>
                <w:sz w:val="24"/>
                <w:szCs w:val="24"/>
              </w:rPr>
              <m:t>t</m:t>
            </m:r>
          </m:sub>
        </m:sSub>
      </m:oMath>
      <w:r w:rsidR="002629C2" w:rsidRPr="00B70B1A">
        <w:rPr>
          <w:rFonts w:ascii="Times New Roman" w:hAnsi="Times New Roman" w:cs="Times New Roman"/>
          <w:sz w:val="24"/>
          <w:szCs w:val="24"/>
        </w:rPr>
        <w:t xml:space="preserve"> </w:t>
      </w:r>
      <w:proofErr w:type="gramStart"/>
      <w:r w:rsidR="002629C2" w:rsidRPr="00B70B1A">
        <w:rPr>
          <w:rFonts w:ascii="Times New Roman" w:hAnsi="Times New Roman" w:cs="Times New Roman"/>
          <w:sz w:val="24"/>
          <w:szCs w:val="24"/>
        </w:rPr>
        <w:t>is</w:t>
      </w:r>
      <w:proofErr w:type="gramEnd"/>
      <w:r w:rsidR="002629C2" w:rsidRPr="00B70B1A">
        <w:rPr>
          <w:rFonts w:ascii="Times New Roman" w:hAnsi="Times New Roman" w:cs="Times New Roman"/>
          <w:sz w:val="24"/>
          <w:szCs w:val="24"/>
        </w:rPr>
        <w:t xml:space="preserve"> the asset value for a plan at </w:t>
      </w:r>
      <w:r w:rsidR="002629C2" w:rsidRPr="00B70B1A">
        <w:rPr>
          <w:rFonts w:ascii="Times New Roman" w:hAnsi="Times New Roman" w:cs="Times New Roman"/>
          <w:i/>
          <w:sz w:val="24"/>
          <w:szCs w:val="24"/>
        </w:rPr>
        <w:t>t</w:t>
      </w:r>
      <w:r w:rsidR="002629C2" w:rsidRPr="00B70B1A">
        <w:rPr>
          <w:rFonts w:ascii="Times New Roman" w:hAnsi="Times New Roman" w:cs="Times New Roman"/>
          <w:sz w:val="24"/>
          <w:szCs w:val="24"/>
        </w:rPr>
        <w:t xml:space="preserve"> time period. The value of the asset is initially fixed as </w:t>
      </w:r>
      <w:r w:rsidR="00764310" w:rsidRPr="00B70B1A">
        <w:rPr>
          <w:rFonts w:ascii="Times New Roman" w:hAnsi="Times New Roman" w:cs="Times New Roman"/>
          <w:sz w:val="24"/>
          <w:szCs w:val="24"/>
        </w:rPr>
        <w:t>a defined</w:t>
      </w:r>
      <w:r w:rsidR="002629C2" w:rsidRPr="00B70B1A">
        <w:rPr>
          <w:rFonts w:ascii="Times New Roman" w:hAnsi="Times New Roman" w:cs="Times New Roman"/>
          <w:sz w:val="24"/>
          <w:szCs w:val="24"/>
        </w:rPr>
        <w:t xml:space="preserve"> portion of the liability. We keep the asset</w:t>
      </w:r>
      <w:r w:rsidR="00764310" w:rsidRPr="00B70B1A">
        <w:rPr>
          <w:rFonts w:ascii="Times New Roman" w:hAnsi="Times New Roman" w:cs="Times New Roman"/>
          <w:sz w:val="24"/>
          <w:szCs w:val="24"/>
        </w:rPr>
        <w:t xml:space="preserve"> value</w:t>
      </w:r>
      <w:r w:rsidR="002629C2" w:rsidRPr="00B70B1A">
        <w:rPr>
          <w:rFonts w:ascii="Times New Roman" w:hAnsi="Times New Roman" w:cs="Times New Roman"/>
          <w:sz w:val="24"/>
          <w:szCs w:val="24"/>
        </w:rPr>
        <w:t xml:space="preserve"> fixed </w:t>
      </w:r>
      <w:r w:rsidR="00764310" w:rsidRPr="00B70B1A">
        <w:rPr>
          <w:rFonts w:ascii="Times New Roman" w:hAnsi="Times New Roman" w:cs="Times New Roman"/>
          <w:sz w:val="24"/>
          <w:szCs w:val="24"/>
        </w:rPr>
        <w:t xml:space="preserve">at </w:t>
      </w:r>
      <w:r w:rsidR="002629C2" w:rsidRPr="00B70B1A">
        <w:rPr>
          <w:rFonts w:ascii="Times New Roman" w:hAnsi="Times New Roman" w:cs="Times New Roman"/>
          <w:i/>
          <w:sz w:val="24"/>
          <w:szCs w:val="24"/>
        </w:rPr>
        <w:t xml:space="preserve">t </w:t>
      </w:r>
      <w:r w:rsidR="002629C2" w:rsidRPr="00B70B1A">
        <w:rPr>
          <w:rFonts w:ascii="Times New Roman" w:hAnsi="Times New Roman" w:cs="Times New Roman"/>
          <w:sz w:val="24"/>
          <w:szCs w:val="24"/>
        </w:rPr>
        <w:t>time period</w:t>
      </w:r>
      <w:r w:rsidR="00764310" w:rsidRPr="00B70B1A">
        <w:rPr>
          <w:rFonts w:ascii="Times New Roman" w:hAnsi="Times New Roman" w:cs="Times New Roman"/>
          <w:sz w:val="24"/>
          <w:szCs w:val="24"/>
        </w:rPr>
        <w:t>s</w:t>
      </w:r>
      <w:r w:rsidR="002629C2" w:rsidRPr="00B70B1A">
        <w:rPr>
          <w:rFonts w:ascii="Times New Roman" w:hAnsi="Times New Roman" w:cs="Times New Roman"/>
          <w:sz w:val="24"/>
          <w:szCs w:val="24"/>
        </w:rPr>
        <w:t xml:space="preserve">. </w:t>
      </w:r>
    </w:p>
    <w:p w14:paraId="779C680B" w14:textId="77777777" w:rsidR="002629C2" w:rsidRPr="00B70B1A" w:rsidRDefault="008E21C0" w:rsidP="002629C2">
      <w:pPr>
        <w:spacing w:after="0" w:line="240" w:lineRule="auto"/>
        <w:contextualSpacing/>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ARC</m:t>
            </m:r>
          </m:e>
          <m:sub>
            <m:r>
              <w:rPr>
                <w:rFonts w:ascii="Cambria Math" w:hAnsi="Cambria Math" w:cs="Times New Roman"/>
                <w:sz w:val="24"/>
                <w:szCs w:val="24"/>
              </w:rPr>
              <m:t>t</m:t>
            </m:r>
          </m:sub>
        </m:sSub>
      </m:oMath>
      <w:r w:rsidR="002629C2" w:rsidRPr="00B70B1A">
        <w:rPr>
          <w:rFonts w:ascii="Times New Roman" w:hAnsi="Times New Roman" w:cs="Times New Roman"/>
          <w:sz w:val="24"/>
          <w:szCs w:val="24"/>
        </w:rPr>
        <w:t xml:space="preserve"> </w:t>
      </w:r>
      <w:proofErr w:type="gramStart"/>
      <w:r w:rsidR="002629C2" w:rsidRPr="00B70B1A">
        <w:rPr>
          <w:rFonts w:ascii="Times New Roman" w:hAnsi="Times New Roman" w:cs="Times New Roman"/>
          <w:sz w:val="24"/>
          <w:szCs w:val="24"/>
        </w:rPr>
        <w:t>is</w:t>
      </w:r>
      <w:proofErr w:type="gramEnd"/>
      <w:r w:rsidR="002629C2" w:rsidRPr="00B70B1A">
        <w:rPr>
          <w:rFonts w:ascii="Times New Roman" w:hAnsi="Times New Roman" w:cs="Times New Roman"/>
          <w:sz w:val="24"/>
          <w:szCs w:val="24"/>
        </w:rPr>
        <w:t xml:space="preserve"> the annual required contribution at </w:t>
      </w:r>
      <w:r w:rsidR="002629C2" w:rsidRPr="00B70B1A">
        <w:rPr>
          <w:rFonts w:ascii="Times New Roman" w:hAnsi="Times New Roman" w:cs="Times New Roman"/>
          <w:i/>
          <w:sz w:val="24"/>
          <w:szCs w:val="24"/>
        </w:rPr>
        <w:t>t</w:t>
      </w:r>
      <w:r w:rsidR="002629C2" w:rsidRPr="00B70B1A">
        <w:rPr>
          <w:rFonts w:ascii="Times New Roman" w:hAnsi="Times New Roman" w:cs="Times New Roman"/>
          <w:sz w:val="24"/>
          <w:szCs w:val="24"/>
        </w:rPr>
        <w:t xml:space="preserve"> time period for a plan.</w:t>
      </w:r>
    </w:p>
    <w:p w14:paraId="465070F8" w14:textId="77777777" w:rsidR="002629C2" w:rsidRPr="00B70B1A" w:rsidRDefault="008E21C0" w:rsidP="002629C2">
      <w:pPr>
        <w:spacing w:after="0" w:line="240" w:lineRule="auto"/>
        <w:contextualSpacing/>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NC</m:t>
            </m:r>
          </m:e>
          <m:sub>
            <m:r>
              <w:rPr>
                <w:rFonts w:ascii="Cambria Math" w:hAnsi="Cambria Math" w:cs="Times New Roman"/>
                <w:sz w:val="24"/>
                <w:szCs w:val="24"/>
              </w:rPr>
              <m:t>t</m:t>
            </m:r>
          </m:sub>
        </m:sSub>
      </m:oMath>
      <w:r w:rsidR="002629C2" w:rsidRPr="00B70B1A">
        <w:rPr>
          <w:rFonts w:ascii="Times New Roman" w:hAnsi="Times New Roman" w:cs="Times New Roman"/>
          <w:sz w:val="24"/>
          <w:szCs w:val="24"/>
        </w:rPr>
        <w:t xml:space="preserve"> </w:t>
      </w:r>
      <w:proofErr w:type="gramStart"/>
      <w:r w:rsidR="002629C2" w:rsidRPr="00B70B1A">
        <w:rPr>
          <w:rFonts w:ascii="Times New Roman" w:hAnsi="Times New Roman" w:cs="Times New Roman"/>
          <w:sz w:val="24"/>
          <w:szCs w:val="24"/>
        </w:rPr>
        <w:t>is</w:t>
      </w:r>
      <w:proofErr w:type="gramEnd"/>
      <w:r w:rsidR="002629C2" w:rsidRPr="00B70B1A">
        <w:rPr>
          <w:rFonts w:ascii="Times New Roman" w:hAnsi="Times New Roman" w:cs="Times New Roman"/>
          <w:sz w:val="24"/>
          <w:szCs w:val="24"/>
        </w:rPr>
        <w:t xml:space="preserve"> the normal cost at </w:t>
      </w:r>
      <w:r w:rsidR="002629C2" w:rsidRPr="00B70B1A">
        <w:rPr>
          <w:rFonts w:ascii="Times New Roman" w:hAnsi="Times New Roman" w:cs="Times New Roman"/>
          <w:i/>
          <w:sz w:val="24"/>
          <w:szCs w:val="24"/>
        </w:rPr>
        <w:t>t</w:t>
      </w:r>
      <w:r w:rsidR="002629C2" w:rsidRPr="00B70B1A">
        <w:rPr>
          <w:rFonts w:ascii="Times New Roman" w:hAnsi="Times New Roman" w:cs="Times New Roman"/>
          <w:sz w:val="24"/>
          <w:szCs w:val="24"/>
        </w:rPr>
        <w:t xml:space="preserve"> time period for a plan. Normal cost can be calculated under EAN or PUC.</w:t>
      </w:r>
    </w:p>
    <w:p w14:paraId="170AC76B" w14:textId="77777777" w:rsidR="002629C2" w:rsidRPr="00B70B1A" w:rsidRDefault="008E21C0" w:rsidP="002629C2">
      <w:pPr>
        <w:spacing w:after="0" w:line="240" w:lineRule="auto"/>
        <w:contextualSpacing/>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AAL</m:t>
            </m:r>
          </m:e>
          <m:sub>
            <m:r>
              <w:rPr>
                <w:rFonts w:ascii="Cambria Math" w:hAnsi="Cambria Math" w:cs="Times New Roman"/>
                <w:sz w:val="24"/>
                <w:szCs w:val="24"/>
              </w:rPr>
              <m:t>t</m:t>
            </m:r>
          </m:sub>
        </m:sSub>
      </m:oMath>
      <w:r w:rsidR="002629C2" w:rsidRPr="00B70B1A">
        <w:rPr>
          <w:rFonts w:ascii="Times New Roman" w:hAnsi="Times New Roman" w:cs="Times New Roman"/>
          <w:sz w:val="24"/>
          <w:szCs w:val="24"/>
        </w:rPr>
        <w:t xml:space="preserve"> </w:t>
      </w:r>
      <w:proofErr w:type="gramStart"/>
      <w:r w:rsidR="002629C2" w:rsidRPr="00B70B1A">
        <w:rPr>
          <w:rFonts w:ascii="Times New Roman" w:hAnsi="Times New Roman" w:cs="Times New Roman"/>
          <w:sz w:val="24"/>
          <w:szCs w:val="24"/>
        </w:rPr>
        <w:t>is</w:t>
      </w:r>
      <w:proofErr w:type="gramEnd"/>
      <w:r w:rsidR="002629C2" w:rsidRPr="00B70B1A">
        <w:rPr>
          <w:rFonts w:ascii="Times New Roman" w:hAnsi="Times New Roman" w:cs="Times New Roman"/>
          <w:sz w:val="24"/>
          <w:szCs w:val="24"/>
        </w:rPr>
        <w:t xml:space="preserve"> the sum of accrual liability for both active members and retirees in a plan.</w:t>
      </w:r>
    </w:p>
    <w:p w14:paraId="213FCB52" w14:textId="71F6F3CC" w:rsidR="00B70B1A" w:rsidRDefault="008E21C0" w:rsidP="002629C2">
      <w:pPr>
        <w:spacing w:after="0" w:line="240" w:lineRule="auto"/>
        <w:contextualSpacing/>
        <w:rPr>
          <w:rFonts w:ascii="Times New Roman" w:hAnsi="Times New Roman" w:cs="Times New Roman"/>
          <w:sz w:val="24"/>
          <w:szCs w:val="24"/>
        </w:rPr>
      </w:pPr>
      <m:oMath>
        <m:sSubSup>
          <m:sSubSupPr>
            <m:ctrlPr>
              <w:rPr>
                <w:rFonts w:ascii="Cambria Math" w:hAnsi="Cambria Math" w:cs="Times New Roman"/>
                <w:sz w:val="24"/>
                <w:szCs w:val="24"/>
              </w:rPr>
            </m:ctrlPr>
          </m:sSubSupPr>
          <m:e>
            <m:acc>
              <m:accPr>
                <m:chr m:val="̈"/>
                <m:ctrlPr>
                  <w:rPr>
                    <w:rFonts w:ascii="Cambria Math" w:hAnsi="Cambria Math" w:cs="Times New Roman"/>
                    <w:sz w:val="24"/>
                    <w:szCs w:val="24"/>
                  </w:rPr>
                </m:ctrlPr>
              </m:accPr>
              <m:e>
                <m:r>
                  <m:rPr>
                    <m:sty m:val="p"/>
                  </m:rPr>
                  <w:rPr>
                    <w:rFonts w:ascii="Cambria Math" w:hAnsi="Cambria Math" w:cs="Times New Roman"/>
                    <w:sz w:val="24"/>
                    <w:szCs w:val="24"/>
                  </w:rPr>
                  <m:t>a</m:t>
                </m:r>
              </m:e>
            </m:acc>
          </m:e>
          <m:sub>
            <m:r>
              <m:rPr>
                <m:sty m:val="p"/>
              </m:rPr>
              <w:rPr>
                <w:rFonts w:ascii="Cambria Math" w:hAnsi="Cambria Math" w:cs="Times New Roman"/>
                <w:sz w:val="24"/>
                <w:szCs w:val="24"/>
              </w:rPr>
              <m:t>m</m:t>
            </m:r>
          </m:sub>
          <m:sup>
            <m:r>
              <m:rPr>
                <m:sty m:val="p"/>
              </m:rPr>
              <w:rPr>
                <w:rFonts w:ascii="Cambria Math" w:hAnsi="Cambria Math" w:cs="Times New Roman"/>
                <w:sz w:val="24"/>
                <w:szCs w:val="24"/>
              </w:rPr>
              <m:t xml:space="preserve"> </m:t>
            </m:r>
          </m:sup>
        </m:sSubSup>
      </m:oMath>
      <w:r w:rsidR="002629C2" w:rsidRPr="00B70B1A">
        <w:rPr>
          <w:rFonts w:ascii="Times New Roman" w:hAnsi="Times New Roman" w:cs="Times New Roman"/>
          <w:sz w:val="24"/>
          <w:szCs w:val="24"/>
        </w:rPr>
        <w:t xml:space="preserve"> </w:t>
      </w:r>
      <w:proofErr w:type="gramStart"/>
      <w:r w:rsidR="002629C2" w:rsidRPr="00B70B1A">
        <w:rPr>
          <w:rFonts w:ascii="Times New Roman" w:hAnsi="Times New Roman" w:cs="Times New Roman"/>
          <w:sz w:val="24"/>
          <w:szCs w:val="24"/>
        </w:rPr>
        <w:t>is</w:t>
      </w:r>
      <w:proofErr w:type="gramEnd"/>
      <w:r w:rsidR="002629C2" w:rsidRPr="00B70B1A">
        <w:rPr>
          <w:rFonts w:ascii="Times New Roman" w:hAnsi="Times New Roman" w:cs="Times New Roman"/>
          <w:sz w:val="24"/>
          <w:szCs w:val="24"/>
        </w:rPr>
        <w:t xml:space="preserve"> an m-year period certain annuity. </w:t>
      </w:r>
      <w:proofErr w:type="gramStart"/>
      <w:r w:rsidR="002629C2" w:rsidRPr="00B70B1A">
        <w:rPr>
          <w:rFonts w:ascii="Times New Roman" w:hAnsi="Times New Roman" w:cs="Times New Roman"/>
          <w:i/>
          <w:sz w:val="24"/>
          <w:szCs w:val="24"/>
        </w:rPr>
        <w:t>m</w:t>
      </w:r>
      <w:proofErr w:type="gramEnd"/>
      <w:r w:rsidR="002629C2" w:rsidRPr="00B70B1A">
        <w:rPr>
          <w:rFonts w:ascii="Times New Roman" w:hAnsi="Times New Roman" w:cs="Times New Roman"/>
          <w:sz w:val="24"/>
          <w:szCs w:val="24"/>
        </w:rPr>
        <w:t xml:space="preserve"> is the amortization period.</w:t>
      </w:r>
    </w:p>
    <w:p w14:paraId="29F3E00F" w14:textId="77777777" w:rsidR="00B70B1A" w:rsidRDefault="00B70B1A">
      <w:pPr>
        <w:rPr>
          <w:rFonts w:ascii="Times New Roman" w:hAnsi="Times New Roman" w:cs="Times New Roman"/>
          <w:sz w:val="24"/>
          <w:szCs w:val="24"/>
        </w:rPr>
      </w:pPr>
      <w:r>
        <w:rPr>
          <w:rFonts w:ascii="Times New Roman" w:hAnsi="Times New Roman" w:cs="Times New Roman"/>
          <w:sz w:val="24"/>
          <w:szCs w:val="24"/>
        </w:rPr>
        <w:br w:type="page"/>
      </w:r>
    </w:p>
    <w:p w14:paraId="2F448033" w14:textId="77777777" w:rsidR="00B87647" w:rsidRPr="00B70B1A" w:rsidRDefault="00B87647" w:rsidP="002629C2">
      <w:pPr>
        <w:spacing w:after="0" w:line="240" w:lineRule="auto"/>
        <w:contextualSpacing/>
        <w:rPr>
          <w:rFonts w:ascii="Times New Roman" w:hAnsi="Times New Roman" w:cs="Times New Roman"/>
          <w:sz w:val="24"/>
          <w:szCs w:val="24"/>
        </w:rPr>
      </w:pPr>
    </w:p>
    <w:p w14:paraId="453081E1" w14:textId="32F3A219" w:rsidR="00825963" w:rsidRDefault="00825963" w:rsidP="00F60E7C">
      <w:pPr>
        <w:spacing w:after="0" w:line="240" w:lineRule="auto"/>
        <w:contextualSpacing/>
        <w:jc w:val="center"/>
        <w:rPr>
          <w:rFonts w:ascii="Times New Roman" w:hAnsi="Times New Roman" w:cs="Times New Roman"/>
          <w:szCs w:val="24"/>
        </w:rPr>
      </w:pPr>
      <w:r w:rsidRPr="00F60E7C">
        <w:rPr>
          <w:rFonts w:ascii="Times New Roman" w:hAnsi="Times New Roman" w:cs="Times New Roman"/>
          <w:szCs w:val="24"/>
        </w:rPr>
        <w:t>Table 1: Vari</w:t>
      </w:r>
      <w:r w:rsidR="00BA57A5" w:rsidRPr="00F60E7C">
        <w:rPr>
          <w:rFonts w:ascii="Times New Roman" w:hAnsi="Times New Roman" w:cs="Times New Roman"/>
          <w:szCs w:val="24"/>
        </w:rPr>
        <w:t>ations in actuarial assumptions</w:t>
      </w:r>
    </w:p>
    <w:p w14:paraId="6926FD28" w14:textId="77777777" w:rsidR="00F60E7C" w:rsidRPr="00F60E7C" w:rsidRDefault="00F60E7C" w:rsidP="00F60E7C">
      <w:pPr>
        <w:spacing w:after="0" w:line="240" w:lineRule="auto"/>
        <w:contextualSpacing/>
        <w:jc w:val="center"/>
        <w:rPr>
          <w:rFonts w:ascii="Times New Roman" w:hAnsi="Times New Roman" w:cs="Times New Roman"/>
          <w:szCs w:val="24"/>
        </w:rPr>
      </w:pPr>
    </w:p>
    <w:tbl>
      <w:tblPr>
        <w:tblW w:w="8046" w:type="dxa"/>
        <w:jc w:val="center"/>
        <w:tblLook w:val="04A0" w:firstRow="1" w:lastRow="0" w:firstColumn="1" w:lastColumn="0" w:noHBand="0" w:noVBand="1"/>
      </w:tblPr>
      <w:tblGrid>
        <w:gridCol w:w="1981"/>
        <w:gridCol w:w="1400"/>
        <w:gridCol w:w="1176"/>
        <w:gridCol w:w="1163"/>
        <w:gridCol w:w="1163"/>
        <w:gridCol w:w="1163"/>
      </w:tblGrid>
      <w:tr w:rsidR="00825963" w:rsidRPr="00BA13C3" w14:paraId="73AF8808" w14:textId="77777777" w:rsidTr="002629C2">
        <w:trPr>
          <w:trHeight w:val="300"/>
          <w:jc w:val="center"/>
        </w:trPr>
        <w:tc>
          <w:tcPr>
            <w:tcW w:w="198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F3686E" w14:textId="77777777" w:rsidR="00825963" w:rsidRPr="002629C2" w:rsidRDefault="00825963" w:rsidP="00F60E7C">
            <w:pPr>
              <w:spacing w:after="0" w:line="240" w:lineRule="auto"/>
              <w:contextualSpacing/>
              <w:rPr>
                <w:rFonts w:ascii="Times New Roman" w:eastAsia="Times New Roman" w:hAnsi="Times New Roman" w:cs="Times New Roman"/>
                <w:color w:val="000000"/>
                <w:sz w:val="20"/>
                <w:szCs w:val="24"/>
                <w:lang w:eastAsia="en-US"/>
              </w:rPr>
            </w:pPr>
          </w:p>
        </w:tc>
        <w:tc>
          <w:tcPr>
            <w:tcW w:w="1400" w:type="dxa"/>
            <w:tcBorders>
              <w:top w:val="single" w:sz="4" w:space="0" w:color="auto"/>
              <w:left w:val="nil"/>
              <w:bottom w:val="single" w:sz="4" w:space="0" w:color="auto"/>
              <w:right w:val="single" w:sz="4" w:space="0" w:color="auto"/>
            </w:tcBorders>
            <w:shd w:val="clear" w:color="auto" w:fill="auto"/>
            <w:noWrap/>
            <w:vAlign w:val="center"/>
            <w:hideMark/>
          </w:tcPr>
          <w:p w14:paraId="45EB65A0" w14:textId="77777777" w:rsidR="00C60FEE" w:rsidRDefault="00825963" w:rsidP="00F60E7C">
            <w:pPr>
              <w:spacing w:after="0" w:line="240" w:lineRule="auto"/>
              <w:contextualSpacing/>
              <w:jc w:val="center"/>
              <w:rPr>
                <w:rFonts w:ascii="Times New Roman" w:eastAsia="Times New Roman" w:hAnsi="Times New Roman" w:cs="Times New Roman"/>
                <w:color w:val="000000"/>
                <w:sz w:val="20"/>
                <w:szCs w:val="24"/>
                <w:lang w:eastAsia="en-US"/>
              </w:rPr>
            </w:pPr>
            <w:r w:rsidRPr="002629C2">
              <w:rPr>
                <w:rFonts w:ascii="Times New Roman" w:eastAsia="Times New Roman" w:hAnsi="Times New Roman" w:cs="Times New Roman"/>
                <w:color w:val="000000"/>
                <w:sz w:val="20"/>
                <w:szCs w:val="24"/>
                <w:lang w:eastAsia="en-US"/>
              </w:rPr>
              <w:t>1</w:t>
            </w:r>
            <w:r w:rsidRPr="002629C2">
              <w:rPr>
                <w:rFonts w:ascii="Times New Roman" w:eastAsia="Times New Roman" w:hAnsi="Times New Roman" w:cs="Times New Roman"/>
                <w:color w:val="000000"/>
                <w:sz w:val="20"/>
                <w:szCs w:val="24"/>
                <w:vertAlign w:val="superscript"/>
                <w:lang w:eastAsia="en-US"/>
              </w:rPr>
              <w:t>st</w:t>
            </w:r>
            <w:r w:rsidRPr="002629C2">
              <w:rPr>
                <w:rFonts w:ascii="Times New Roman" w:eastAsia="Times New Roman" w:hAnsi="Times New Roman" w:cs="Times New Roman"/>
                <w:color w:val="000000"/>
                <w:sz w:val="20"/>
                <w:szCs w:val="24"/>
                <w:lang w:eastAsia="en-US"/>
              </w:rPr>
              <w:t xml:space="preserve"> </w:t>
            </w:r>
          </w:p>
          <w:p w14:paraId="44FA400B" w14:textId="72A68FD3" w:rsidR="00825963" w:rsidRPr="002629C2" w:rsidRDefault="00825963" w:rsidP="00F60E7C">
            <w:pPr>
              <w:spacing w:after="0" w:line="240" w:lineRule="auto"/>
              <w:contextualSpacing/>
              <w:jc w:val="center"/>
              <w:rPr>
                <w:rFonts w:ascii="Times New Roman" w:eastAsia="Times New Roman" w:hAnsi="Times New Roman" w:cs="Times New Roman"/>
                <w:color w:val="000000"/>
                <w:sz w:val="20"/>
                <w:szCs w:val="24"/>
                <w:lang w:eastAsia="en-US"/>
              </w:rPr>
            </w:pPr>
            <w:r w:rsidRPr="002629C2">
              <w:rPr>
                <w:rFonts w:ascii="Times New Roman" w:eastAsia="Times New Roman" w:hAnsi="Times New Roman" w:cs="Times New Roman"/>
                <w:color w:val="000000"/>
                <w:sz w:val="20"/>
                <w:szCs w:val="24"/>
                <w:lang w:eastAsia="en-US"/>
              </w:rPr>
              <w:t>percentile</w:t>
            </w:r>
          </w:p>
        </w:tc>
        <w:tc>
          <w:tcPr>
            <w:tcW w:w="1176" w:type="dxa"/>
            <w:tcBorders>
              <w:top w:val="single" w:sz="4" w:space="0" w:color="auto"/>
              <w:left w:val="nil"/>
              <w:bottom w:val="single" w:sz="4" w:space="0" w:color="auto"/>
              <w:right w:val="single" w:sz="4" w:space="0" w:color="auto"/>
            </w:tcBorders>
            <w:shd w:val="clear" w:color="auto" w:fill="auto"/>
            <w:noWrap/>
            <w:vAlign w:val="center"/>
            <w:hideMark/>
          </w:tcPr>
          <w:p w14:paraId="4F77B80B" w14:textId="1A98354A" w:rsidR="00825963" w:rsidRPr="002629C2" w:rsidRDefault="00825963" w:rsidP="00C60FEE">
            <w:pPr>
              <w:spacing w:after="0" w:line="240" w:lineRule="auto"/>
              <w:contextualSpacing/>
              <w:jc w:val="center"/>
              <w:rPr>
                <w:rFonts w:ascii="Times New Roman" w:eastAsia="Times New Roman" w:hAnsi="Times New Roman" w:cs="Times New Roman"/>
                <w:color w:val="000000"/>
                <w:sz w:val="20"/>
                <w:szCs w:val="24"/>
                <w:lang w:eastAsia="en-US"/>
              </w:rPr>
            </w:pPr>
            <w:r w:rsidRPr="002629C2">
              <w:rPr>
                <w:rFonts w:ascii="Times New Roman" w:eastAsia="Times New Roman" w:hAnsi="Times New Roman" w:cs="Times New Roman"/>
                <w:color w:val="000000"/>
                <w:sz w:val="20"/>
                <w:szCs w:val="24"/>
                <w:lang w:eastAsia="en-US"/>
              </w:rPr>
              <w:t>25</w:t>
            </w:r>
            <w:r w:rsidRPr="002629C2">
              <w:rPr>
                <w:rFonts w:ascii="Times New Roman" w:eastAsia="Times New Roman" w:hAnsi="Times New Roman" w:cs="Times New Roman"/>
                <w:color w:val="000000"/>
                <w:sz w:val="20"/>
                <w:szCs w:val="24"/>
                <w:vertAlign w:val="superscript"/>
                <w:lang w:eastAsia="en-US"/>
              </w:rPr>
              <w:t>th</w:t>
            </w:r>
            <w:r w:rsidRPr="002629C2">
              <w:rPr>
                <w:rFonts w:ascii="Times New Roman" w:eastAsia="Times New Roman" w:hAnsi="Times New Roman" w:cs="Times New Roman"/>
                <w:color w:val="000000"/>
                <w:sz w:val="20"/>
                <w:szCs w:val="24"/>
                <w:lang w:eastAsia="en-US"/>
              </w:rPr>
              <w:t xml:space="preserve"> </w:t>
            </w:r>
            <w:r w:rsidR="00C60FEE">
              <w:rPr>
                <w:rFonts w:ascii="Times New Roman" w:eastAsia="Times New Roman" w:hAnsi="Times New Roman" w:cs="Times New Roman"/>
                <w:color w:val="000000"/>
                <w:sz w:val="20"/>
                <w:szCs w:val="24"/>
                <w:lang w:eastAsia="en-US"/>
              </w:rPr>
              <w:t>p</w:t>
            </w:r>
            <w:r w:rsidRPr="002629C2">
              <w:rPr>
                <w:rFonts w:ascii="Times New Roman" w:eastAsia="Times New Roman" w:hAnsi="Times New Roman" w:cs="Times New Roman"/>
                <w:color w:val="000000"/>
                <w:sz w:val="20"/>
                <w:szCs w:val="24"/>
                <w:lang w:eastAsia="en-US"/>
              </w:rPr>
              <w:t>ercentile</w:t>
            </w:r>
          </w:p>
        </w:tc>
        <w:tc>
          <w:tcPr>
            <w:tcW w:w="1163" w:type="dxa"/>
            <w:tcBorders>
              <w:top w:val="single" w:sz="4" w:space="0" w:color="auto"/>
              <w:left w:val="nil"/>
              <w:bottom w:val="single" w:sz="4" w:space="0" w:color="auto"/>
              <w:right w:val="single" w:sz="4" w:space="0" w:color="auto"/>
            </w:tcBorders>
            <w:shd w:val="clear" w:color="auto" w:fill="auto"/>
            <w:noWrap/>
            <w:vAlign w:val="center"/>
            <w:hideMark/>
          </w:tcPr>
          <w:p w14:paraId="3EDC53DD" w14:textId="77777777" w:rsidR="00825963" w:rsidRPr="002629C2" w:rsidRDefault="00825963" w:rsidP="00F60E7C">
            <w:pPr>
              <w:spacing w:after="0" w:line="240" w:lineRule="auto"/>
              <w:contextualSpacing/>
              <w:jc w:val="center"/>
              <w:rPr>
                <w:rFonts w:ascii="Times New Roman" w:eastAsia="Times New Roman" w:hAnsi="Times New Roman" w:cs="Times New Roman"/>
                <w:color w:val="000000"/>
                <w:sz w:val="20"/>
                <w:szCs w:val="24"/>
                <w:lang w:eastAsia="en-US"/>
              </w:rPr>
            </w:pPr>
            <w:r w:rsidRPr="002629C2">
              <w:rPr>
                <w:rFonts w:ascii="Times New Roman" w:eastAsia="Times New Roman" w:hAnsi="Times New Roman" w:cs="Times New Roman"/>
                <w:color w:val="000000"/>
                <w:sz w:val="20"/>
                <w:szCs w:val="24"/>
                <w:lang w:eastAsia="en-US"/>
              </w:rPr>
              <w:t>50</w:t>
            </w:r>
            <w:r w:rsidRPr="002629C2">
              <w:rPr>
                <w:rFonts w:ascii="Times New Roman" w:eastAsia="Times New Roman" w:hAnsi="Times New Roman" w:cs="Times New Roman"/>
                <w:color w:val="000000"/>
                <w:sz w:val="20"/>
                <w:szCs w:val="24"/>
                <w:vertAlign w:val="superscript"/>
                <w:lang w:eastAsia="en-US"/>
              </w:rPr>
              <w:t>th</w:t>
            </w:r>
            <w:r w:rsidRPr="002629C2">
              <w:rPr>
                <w:rFonts w:ascii="Times New Roman" w:eastAsia="Times New Roman" w:hAnsi="Times New Roman" w:cs="Times New Roman"/>
                <w:color w:val="000000"/>
                <w:sz w:val="20"/>
                <w:szCs w:val="24"/>
                <w:lang w:eastAsia="en-US"/>
              </w:rPr>
              <w:t xml:space="preserve"> percentile</w:t>
            </w:r>
          </w:p>
        </w:tc>
        <w:tc>
          <w:tcPr>
            <w:tcW w:w="1163" w:type="dxa"/>
            <w:tcBorders>
              <w:top w:val="single" w:sz="4" w:space="0" w:color="auto"/>
              <w:left w:val="nil"/>
              <w:bottom w:val="single" w:sz="4" w:space="0" w:color="auto"/>
              <w:right w:val="single" w:sz="4" w:space="0" w:color="auto"/>
            </w:tcBorders>
            <w:shd w:val="clear" w:color="auto" w:fill="auto"/>
            <w:noWrap/>
            <w:vAlign w:val="center"/>
            <w:hideMark/>
          </w:tcPr>
          <w:p w14:paraId="258A2545" w14:textId="77777777" w:rsidR="00825963" w:rsidRPr="002629C2" w:rsidRDefault="00825963" w:rsidP="00F60E7C">
            <w:pPr>
              <w:spacing w:after="0" w:line="240" w:lineRule="auto"/>
              <w:contextualSpacing/>
              <w:jc w:val="center"/>
              <w:rPr>
                <w:rFonts w:ascii="Times New Roman" w:eastAsia="Times New Roman" w:hAnsi="Times New Roman" w:cs="Times New Roman"/>
                <w:color w:val="000000"/>
                <w:sz w:val="20"/>
                <w:szCs w:val="24"/>
                <w:lang w:eastAsia="en-US"/>
              </w:rPr>
            </w:pPr>
            <w:r w:rsidRPr="002629C2">
              <w:rPr>
                <w:rFonts w:ascii="Times New Roman" w:eastAsia="Times New Roman" w:hAnsi="Times New Roman" w:cs="Times New Roman"/>
                <w:color w:val="000000"/>
                <w:sz w:val="20"/>
                <w:szCs w:val="24"/>
                <w:lang w:eastAsia="en-US"/>
              </w:rPr>
              <w:t>75</w:t>
            </w:r>
            <w:r w:rsidRPr="002629C2">
              <w:rPr>
                <w:rFonts w:ascii="Times New Roman" w:eastAsia="Times New Roman" w:hAnsi="Times New Roman" w:cs="Times New Roman"/>
                <w:color w:val="000000"/>
                <w:sz w:val="20"/>
                <w:szCs w:val="24"/>
                <w:vertAlign w:val="superscript"/>
                <w:lang w:eastAsia="en-US"/>
              </w:rPr>
              <w:t>th</w:t>
            </w:r>
            <w:r w:rsidRPr="002629C2">
              <w:rPr>
                <w:rFonts w:ascii="Times New Roman" w:eastAsia="Times New Roman" w:hAnsi="Times New Roman" w:cs="Times New Roman"/>
                <w:color w:val="000000"/>
                <w:sz w:val="20"/>
                <w:szCs w:val="24"/>
                <w:lang w:eastAsia="en-US"/>
              </w:rPr>
              <w:t xml:space="preserve"> percentile</w:t>
            </w:r>
          </w:p>
        </w:tc>
        <w:tc>
          <w:tcPr>
            <w:tcW w:w="1163" w:type="dxa"/>
            <w:tcBorders>
              <w:top w:val="single" w:sz="4" w:space="0" w:color="auto"/>
              <w:left w:val="nil"/>
              <w:bottom w:val="single" w:sz="4" w:space="0" w:color="auto"/>
              <w:right w:val="single" w:sz="4" w:space="0" w:color="auto"/>
            </w:tcBorders>
            <w:shd w:val="clear" w:color="auto" w:fill="auto"/>
            <w:noWrap/>
            <w:vAlign w:val="center"/>
            <w:hideMark/>
          </w:tcPr>
          <w:p w14:paraId="3FC495B1" w14:textId="77777777" w:rsidR="00825963" w:rsidRPr="002629C2" w:rsidRDefault="00825963" w:rsidP="00F60E7C">
            <w:pPr>
              <w:spacing w:after="0" w:line="240" w:lineRule="auto"/>
              <w:contextualSpacing/>
              <w:jc w:val="center"/>
              <w:rPr>
                <w:rFonts w:ascii="Times New Roman" w:eastAsia="Times New Roman" w:hAnsi="Times New Roman" w:cs="Times New Roman"/>
                <w:color w:val="000000"/>
                <w:sz w:val="20"/>
                <w:szCs w:val="24"/>
                <w:lang w:eastAsia="en-US"/>
              </w:rPr>
            </w:pPr>
            <w:r w:rsidRPr="002629C2">
              <w:rPr>
                <w:rFonts w:ascii="Times New Roman" w:eastAsia="Times New Roman" w:hAnsi="Times New Roman" w:cs="Times New Roman"/>
                <w:color w:val="000000"/>
                <w:sz w:val="20"/>
                <w:szCs w:val="24"/>
                <w:lang w:eastAsia="en-US"/>
              </w:rPr>
              <w:t>99</w:t>
            </w:r>
            <w:r w:rsidRPr="002629C2">
              <w:rPr>
                <w:rFonts w:ascii="Times New Roman" w:eastAsia="Times New Roman" w:hAnsi="Times New Roman" w:cs="Times New Roman"/>
                <w:color w:val="000000"/>
                <w:sz w:val="20"/>
                <w:szCs w:val="24"/>
                <w:vertAlign w:val="superscript"/>
                <w:lang w:eastAsia="en-US"/>
              </w:rPr>
              <w:t>th</w:t>
            </w:r>
            <w:r w:rsidRPr="002629C2">
              <w:rPr>
                <w:rFonts w:ascii="Times New Roman" w:eastAsia="Times New Roman" w:hAnsi="Times New Roman" w:cs="Times New Roman"/>
                <w:color w:val="000000"/>
                <w:sz w:val="20"/>
                <w:szCs w:val="24"/>
                <w:lang w:eastAsia="en-US"/>
              </w:rPr>
              <w:t xml:space="preserve"> percentile</w:t>
            </w:r>
          </w:p>
        </w:tc>
      </w:tr>
      <w:tr w:rsidR="00825963" w:rsidRPr="00BA13C3" w14:paraId="67372C80" w14:textId="77777777" w:rsidTr="002629C2">
        <w:trPr>
          <w:trHeight w:val="315"/>
          <w:jc w:val="center"/>
        </w:trPr>
        <w:tc>
          <w:tcPr>
            <w:tcW w:w="1981" w:type="dxa"/>
            <w:tcBorders>
              <w:top w:val="nil"/>
              <w:left w:val="single" w:sz="4" w:space="0" w:color="auto"/>
              <w:bottom w:val="single" w:sz="4" w:space="0" w:color="auto"/>
              <w:right w:val="single" w:sz="4" w:space="0" w:color="auto"/>
            </w:tcBorders>
            <w:shd w:val="clear" w:color="auto" w:fill="auto"/>
            <w:vAlign w:val="center"/>
            <w:hideMark/>
          </w:tcPr>
          <w:p w14:paraId="300287DA" w14:textId="77777777" w:rsidR="00825963" w:rsidRPr="002629C2" w:rsidRDefault="00825963" w:rsidP="00F60E7C">
            <w:pPr>
              <w:spacing w:after="0" w:line="240" w:lineRule="auto"/>
              <w:contextualSpacing/>
              <w:rPr>
                <w:rFonts w:ascii="Times New Roman" w:eastAsia="Times New Roman" w:hAnsi="Times New Roman" w:cs="Times New Roman"/>
                <w:color w:val="000000"/>
                <w:sz w:val="20"/>
                <w:szCs w:val="24"/>
                <w:lang w:eastAsia="en-US"/>
              </w:rPr>
            </w:pPr>
            <w:r w:rsidRPr="002629C2">
              <w:rPr>
                <w:rFonts w:ascii="Times New Roman" w:eastAsia="Times New Roman" w:hAnsi="Times New Roman" w:cs="Times New Roman"/>
                <w:color w:val="000000"/>
                <w:sz w:val="20"/>
                <w:szCs w:val="24"/>
                <w:lang w:eastAsia="en-US"/>
              </w:rPr>
              <w:t>Discount rate</w:t>
            </w:r>
          </w:p>
        </w:tc>
        <w:tc>
          <w:tcPr>
            <w:tcW w:w="1400" w:type="dxa"/>
            <w:tcBorders>
              <w:top w:val="nil"/>
              <w:left w:val="nil"/>
              <w:bottom w:val="single" w:sz="4" w:space="0" w:color="auto"/>
              <w:right w:val="single" w:sz="4" w:space="0" w:color="auto"/>
            </w:tcBorders>
            <w:shd w:val="clear" w:color="auto" w:fill="auto"/>
            <w:noWrap/>
            <w:vAlign w:val="center"/>
            <w:hideMark/>
          </w:tcPr>
          <w:p w14:paraId="6C22943A" w14:textId="77777777" w:rsidR="00825963" w:rsidRPr="002629C2" w:rsidRDefault="00825963" w:rsidP="00F60E7C">
            <w:pPr>
              <w:spacing w:after="0" w:line="240" w:lineRule="auto"/>
              <w:contextualSpacing/>
              <w:jc w:val="center"/>
              <w:rPr>
                <w:rFonts w:ascii="Times New Roman" w:eastAsia="Times New Roman" w:hAnsi="Times New Roman" w:cs="Times New Roman"/>
                <w:color w:val="000000"/>
                <w:sz w:val="20"/>
                <w:szCs w:val="24"/>
                <w:lang w:eastAsia="en-US"/>
              </w:rPr>
            </w:pPr>
            <w:r w:rsidRPr="002629C2">
              <w:rPr>
                <w:rFonts w:ascii="Times New Roman" w:eastAsia="Times New Roman" w:hAnsi="Times New Roman" w:cs="Times New Roman"/>
                <w:color w:val="000000"/>
                <w:sz w:val="20"/>
                <w:szCs w:val="24"/>
                <w:lang w:eastAsia="en-US"/>
              </w:rPr>
              <w:t>6%</w:t>
            </w:r>
          </w:p>
        </w:tc>
        <w:tc>
          <w:tcPr>
            <w:tcW w:w="1176" w:type="dxa"/>
            <w:tcBorders>
              <w:top w:val="nil"/>
              <w:left w:val="nil"/>
              <w:bottom w:val="single" w:sz="4" w:space="0" w:color="auto"/>
              <w:right w:val="single" w:sz="4" w:space="0" w:color="auto"/>
            </w:tcBorders>
            <w:shd w:val="clear" w:color="auto" w:fill="auto"/>
            <w:noWrap/>
            <w:vAlign w:val="center"/>
            <w:hideMark/>
          </w:tcPr>
          <w:p w14:paraId="059D73B4" w14:textId="77777777" w:rsidR="00825963" w:rsidRPr="002629C2" w:rsidRDefault="00825963" w:rsidP="00F60E7C">
            <w:pPr>
              <w:spacing w:after="0" w:line="240" w:lineRule="auto"/>
              <w:contextualSpacing/>
              <w:jc w:val="center"/>
              <w:rPr>
                <w:rFonts w:ascii="Times New Roman" w:eastAsia="Times New Roman" w:hAnsi="Times New Roman" w:cs="Times New Roman"/>
                <w:color w:val="000000"/>
                <w:sz w:val="20"/>
                <w:szCs w:val="24"/>
                <w:lang w:eastAsia="en-US"/>
              </w:rPr>
            </w:pPr>
            <w:r w:rsidRPr="002629C2">
              <w:rPr>
                <w:rFonts w:ascii="Times New Roman" w:eastAsia="Times New Roman" w:hAnsi="Times New Roman" w:cs="Times New Roman"/>
                <w:color w:val="000000"/>
                <w:sz w:val="20"/>
                <w:szCs w:val="24"/>
                <w:lang w:eastAsia="en-US"/>
              </w:rPr>
              <w:t>7.75%</w:t>
            </w:r>
          </w:p>
        </w:tc>
        <w:tc>
          <w:tcPr>
            <w:tcW w:w="1163" w:type="dxa"/>
            <w:tcBorders>
              <w:top w:val="nil"/>
              <w:left w:val="nil"/>
              <w:bottom w:val="single" w:sz="4" w:space="0" w:color="auto"/>
              <w:right w:val="single" w:sz="4" w:space="0" w:color="auto"/>
            </w:tcBorders>
            <w:shd w:val="clear" w:color="auto" w:fill="auto"/>
            <w:noWrap/>
            <w:vAlign w:val="center"/>
            <w:hideMark/>
          </w:tcPr>
          <w:p w14:paraId="046C72F9" w14:textId="77777777" w:rsidR="00825963" w:rsidRPr="002629C2" w:rsidRDefault="00825963" w:rsidP="00F60E7C">
            <w:pPr>
              <w:spacing w:after="0" w:line="240" w:lineRule="auto"/>
              <w:contextualSpacing/>
              <w:jc w:val="center"/>
              <w:rPr>
                <w:rFonts w:ascii="Times New Roman" w:eastAsia="Times New Roman" w:hAnsi="Times New Roman" w:cs="Times New Roman"/>
                <w:color w:val="000000"/>
                <w:sz w:val="20"/>
                <w:szCs w:val="24"/>
                <w:lang w:eastAsia="en-US"/>
              </w:rPr>
            </w:pPr>
            <w:r w:rsidRPr="002629C2">
              <w:rPr>
                <w:rFonts w:ascii="Times New Roman" w:eastAsia="Times New Roman" w:hAnsi="Times New Roman" w:cs="Times New Roman"/>
                <w:color w:val="000000"/>
                <w:sz w:val="20"/>
                <w:szCs w:val="24"/>
                <w:lang w:eastAsia="en-US"/>
              </w:rPr>
              <w:t>8%</w:t>
            </w:r>
          </w:p>
        </w:tc>
        <w:tc>
          <w:tcPr>
            <w:tcW w:w="1163" w:type="dxa"/>
            <w:tcBorders>
              <w:top w:val="nil"/>
              <w:left w:val="nil"/>
              <w:bottom w:val="single" w:sz="4" w:space="0" w:color="auto"/>
              <w:right w:val="single" w:sz="4" w:space="0" w:color="auto"/>
            </w:tcBorders>
            <w:shd w:val="clear" w:color="auto" w:fill="auto"/>
            <w:noWrap/>
            <w:vAlign w:val="center"/>
            <w:hideMark/>
          </w:tcPr>
          <w:p w14:paraId="4F835EDF" w14:textId="77777777" w:rsidR="00825963" w:rsidRPr="002629C2" w:rsidRDefault="00825963" w:rsidP="00F60E7C">
            <w:pPr>
              <w:spacing w:after="0" w:line="240" w:lineRule="auto"/>
              <w:contextualSpacing/>
              <w:jc w:val="center"/>
              <w:rPr>
                <w:rFonts w:ascii="Times New Roman" w:eastAsia="Times New Roman" w:hAnsi="Times New Roman" w:cs="Times New Roman"/>
                <w:color w:val="000000"/>
                <w:sz w:val="20"/>
                <w:szCs w:val="24"/>
                <w:lang w:eastAsia="en-US"/>
              </w:rPr>
            </w:pPr>
            <w:r w:rsidRPr="002629C2">
              <w:rPr>
                <w:rFonts w:ascii="Times New Roman" w:eastAsia="Times New Roman" w:hAnsi="Times New Roman" w:cs="Times New Roman"/>
                <w:color w:val="000000"/>
                <w:sz w:val="20"/>
                <w:szCs w:val="24"/>
                <w:lang w:eastAsia="en-US"/>
              </w:rPr>
              <w:t>8.25%</w:t>
            </w:r>
          </w:p>
        </w:tc>
        <w:tc>
          <w:tcPr>
            <w:tcW w:w="1163" w:type="dxa"/>
            <w:tcBorders>
              <w:top w:val="nil"/>
              <w:left w:val="nil"/>
              <w:bottom w:val="single" w:sz="4" w:space="0" w:color="auto"/>
              <w:right w:val="single" w:sz="4" w:space="0" w:color="auto"/>
            </w:tcBorders>
            <w:shd w:val="clear" w:color="auto" w:fill="auto"/>
            <w:noWrap/>
            <w:vAlign w:val="center"/>
            <w:hideMark/>
          </w:tcPr>
          <w:p w14:paraId="7DDB757D" w14:textId="77777777" w:rsidR="00825963" w:rsidRPr="002629C2" w:rsidRDefault="00825963" w:rsidP="00F60E7C">
            <w:pPr>
              <w:spacing w:after="0" w:line="240" w:lineRule="auto"/>
              <w:contextualSpacing/>
              <w:jc w:val="center"/>
              <w:rPr>
                <w:rFonts w:ascii="Times New Roman" w:eastAsia="Times New Roman" w:hAnsi="Times New Roman" w:cs="Times New Roman"/>
                <w:color w:val="000000"/>
                <w:sz w:val="20"/>
                <w:szCs w:val="24"/>
                <w:lang w:eastAsia="en-US"/>
              </w:rPr>
            </w:pPr>
            <w:r w:rsidRPr="002629C2">
              <w:rPr>
                <w:rFonts w:ascii="Times New Roman" w:eastAsia="Times New Roman" w:hAnsi="Times New Roman" w:cs="Times New Roman"/>
                <w:color w:val="000000"/>
                <w:sz w:val="20"/>
                <w:szCs w:val="24"/>
                <w:lang w:eastAsia="en-US"/>
              </w:rPr>
              <w:t>8.75%</w:t>
            </w:r>
          </w:p>
        </w:tc>
      </w:tr>
      <w:tr w:rsidR="00825963" w:rsidRPr="00BA13C3" w14:paraId="46825ED1" w14:textId="77777777" w:rsidTr="002629C2">
        <w:trPr>
          <w:trHeight w:val="315"/>
          <w:jc w:val="center"/>
        </w:trPr>
        <w:tc>
          <w:tcPr>
            <w:tcW w:w="1981" w:type="dxa"/>
            <w:tcBorders>
              <w:top w:val="nil"/>
              <w:left w:val="single" w:sz="4" w:space="0" w:color="auto"/>
              <w:bottom w:val="single" w:sz="4" w:space="0" w:color="auto"/>
              <w:right w:val="single" w:sz="4" w:space="0" w:color="auto"/>
            </w:tcBorders>
            <w:shd w:val="clear" w:color="auto" w:fill="auto"/>
            <w:vAlign w:val="center"/>
            <w:hideMark/>
          </w:tcPr>
          <w:p w14:paraId="4AB32083" w14:textId="77777777" w:rsidR="00825963" w:rsidRPr="002629C2" w:rsidRDefault="00825963" w:rsidP="00F60E7C">
            <w:pPr>
              <w:spacing w:after="0" w:line="240" w:lineRule="auto"/>
              <w:contextualSpacing/>
              <w:rPr>
                <w:rFonts w:ascii="Times New Roman" w:eastAsia="Times New Roman" w:hAnsi="Times New Roman" w:cs="Times New Roman"/>
                <w:color w:val="000000"/>
                <w:sz w:val="20"/>
                <w:szCs w:val="24"/>
                <w:lang w:eastAsia="en-US"/>
              </w:rPr>
            </w:pPr>
            <w:r w:rsidRPr="002629C2">
              <w:rPr>
                <w:rFonts w:ascii="Times New Roman" w:eastAsia="Times New Roman" w:hAnsi="Times New Roman" w:cs="Times New Roman"/>
                <w:color w:val="000000"/>
                <w:sz w:val="20"/>
                <w:szCs w:val="24"/>
                <w:lang w:eastAsia="en-US"/>
              </w:rPr>
              <w:t>Salary growth rate</w:t>
            </w:r>
          </w:p>
        </w:tc>
        <w:tc>
          <w:tcPr>
            <w:tcW w:w="1400" w:type="dxa"/>
            <w:tcBorders>
              <w:top w:val="nil"/>
              <w:left w:val="nil"/>
              <w:bottom w:val="single" w:sz="4" w:space="0" w:color="auto"/>
              <w:right w:val="single" w:sz="4" w:space="0" w:color="auto"/>
            </w:tcBorders>
            <w:shd w:val="clear" w:color="auto" w:fill="auto"/>
            <w:noWrap/>
            <w:vAlign w:val="center"/>
            <w:hideMark/>
          </w:tcPr>
          <w:p w14:paraId="54F31EA6" w14:textId="1FA2A166" w:rsidR="00825963" w:rsidRPr="002629C2" w:rsidRDefault="00825963" w:rsidP="00F60E7C">
            <w:pPr>
              <w:spacing w:after="0" w:line="240" w:lineRule="auto"/>
              <w:contextualSpacing/>
              <w:jc w:val="center"/>
              <w:rPr>
                <w:rFonts w:ascii="Times New Roman" w:eastAsia="Times New Roman" w:hAnsi="Times New Roman" w:cs="Times New Roman"/>
                <w:color w:val="000000"/>
                <w:sz w:val="20"/>
                <w:szCs w:val="24"/>
                <w:lang w:eastAsia="en-US"/>
              </w:rPr>
            </w:pPr>
            <w:r w:rsidRPr="002629C2">
              <w:rPr>
                <w:rFonts w:ascii="Times New Roman" w:eastAsia="Times New Roman" w:hAnsi="Times New Roman" w:cs="Times New Roman"/>
                <w:color w:val="000000"/>
                <w:sz w:val="20"/>
                <w:szCs w:val="24"/>
                <w:lang w:eastAsia="en-US"/>
              </w:rPr>
              <w:t>3.1%</w:t>
            </w:r>
          </w:p>
        </w:tc>
        <w:tc>
          <w:tcPr>
            <w:tcW w:w="1176" w:type="dxa"/>
            <w:tcBorders>
              <w:top w:val="nil"/>
              <w:left w:val="nil"/>
              <w:bottom w:val="single" w:sz="4" w:space="0" w:color="auto"/>
              <w:right w:val="single" w:sz="4" w:space="0" w:color="auto"/>
            </w:tcBorders>
            <w:shd w:val="clear" w:color="auto" w:fill="auto"/>
            <w:noWrap/>
            <w:vAlign w:val="center"/>
            <w:hideMark/>
          </w:tcPr>
          <w:p w14:paraId="0DEBB713" w14:textId="77777777" w:rsidR="00825963" w:rsidRPr="002629C2" w:rsidRDefault="00825963" w:rsidP="00F60E7C">
            <w:pPr>
              <w:spacing w:after="0" w:line="240" w:lineRule="auto"/>
              <w:contextualSpacing/>
              <w:jc w:val="center"/>
              <w:rPr>
                <w:rFonts w:ascii="Times New Roman" w:eastAsia="Times New Roman" w:hAnsi="Times New Roman" w:cs="Times New Roman"/>
                <w:color w:val="000000"/>
                <w:sz w:val="20"/>
                <w:szCs w:val="24"/>
                <w:lang w:eastAsia="en-US"/>
              </w:rPr>
            </w:pPr>
            <w:r w:rsidRPr="002629C2">
              <w:rPr>
                <w:rFonts w:ascii="Times New Roman" w:eastAsia="Times New Roman" w:hAnsi="Times New Roman" w:cs="Times New Roman"/>
                <w:color w:val="000000"/>
                <w:sz w:val="20"/>
                <w:szCs w:val="24"/>
                <w:lang w:eastAsia="en-US"/>
              </w:rPr>
              <w:t>5%</w:t>
            </w:r>
          </w:p>
        </w:tc>
        <w:tc>
          <w:tcPr>
            <w:tcW w:w="1163" w:type="dxa"/>
            <w:tcBorders>
              <w:top w:val="nil"/>
              <w:left w:val="nil"/>
              <w:bottom w:val="single" w:sz="4" w:space="0" w:color="auto"/>
              <w:right w:val="single" w:sz="4" w:space="0" w:color="auto"/>
            </w:tcBorders>
            <w:shd w:val="clear" w:color="auto" w:fill="auto"/>
            <w:noWrap/>
            <w:vAlign w:val="center"/>
            <w:hideMark/>
          </w:tcPr>
          <w:p w14:paraId="26DB158B" w14:textId="77777777" w:rsidR="00825963" w:rsidRPr="002629C2" w:rsidRDefault="00825963" w:rsidP="00F60E7C">
            <w:pPr>
              <w:spacing w:after="0" w:line="240" w:lineRule="auto"/>
              <w:contextualSpacing/>
              <w:jc w:val="center"/>
              <w:rPr>
                <w:rFonts w:ascii="Times New Roman" w:eastAsia="Times New Roman" w:hAnsi="Times New Roman" w:cs="Times New Roman"/>
                <w:color w:val="000000"/>
                <w:sz w:val="20"/>
                <w:szCs w:val="24"/>
                <w:lang w:eastAsia="en-US"/>
              </w:rPr>
            </w:pPr>
            <w:r w:rsidRPr="002629C2">
              <w:rPr>
                <w:rFonts w:ascii="Times New Roman" w:eastAsia="Times New Roman" w:hAnsi="Times New Roman" w:cs="Times New Roman"/>
                <w:color w:val="000000"/>
                <w:sz w:val="20"/>
                <w:szCs w:val="24"/>
                <w:lang w:eastAsia="en-US"/>
              </w:rPr>
              <w:t>5.68%</w:t>
            </w:r>
          </w:p>
        </w:tc>
        <w:tc>
          <w:tcPr>
            <w:tcW w:w="1163" w:type="dxa"/>
            <w:tcBorders>
              <w:top w:val="nil"/>
              <w:left w:val="nil"/>
              <w:bottom w:val="single" w:sz="4" w:space="0" w:color="auto"/>
              <w:right w:val="single" w:sz="4" w:space="0" w:color="auto"/>
            </w:tcBorders>
            <w:shd w:val="clear" w:color="auto" w:fill="auto"/>
            <w:noWrap/>
            <w:vAlign w:val="center"/>
            <w:hideMark/>
          </w:tcPr>
          <w:p w14:paraId="3DD62D78" w14:textId="77777777" w:rsidR="00825963" w:rsidRPr="002629C2" w:rsidRDefault="00825963" w:rsidP="00F60E7C">
            <w:pPr>
              <w:spacing w:after="0" w:line="240" w:lineRule="auto"/>
              <w:contextualSpacing/>
              <w:jc w:val="center"/>
              <w:rPr>
                <w:rFonts w:ascii="Times New Roman" w:eastAsia="Times New Roman" w:hAnsi="Times New Roman" w:cs="Times New Roman"/>
                <w:color w:val="000000"/>
                <w:sz w:val="20"/>
                <w:szCs w:val="24"/>
                <w:lang w:eastAsia="en-US"/>
              </w:rPr>
            </w:pPr>
            <w:r w:rsidRPr="002629C2">
              <w:rPr>
                <w:rFonts w:ascii="Times New Roman" w:eastAsia="Times New Roman" w:hAnsi="Times New Roman" w:cs="Times New Roman"/>
                <w:color w:val="000000"/>
                <w:sz w:val="20"/>
                <w:szCs w:val="24"/>
                <w:lang w:eastAsia="en-US"/>
              </w:rPr>
              <w:t>6.25%</w:t>
            </w:r>
          </w:p>
        </w:tc>
        <w:tc>
          <w:tcPr>
            <w:tcW w:w="1163" w:type="dxa"/>
            <w:tcBorders>
              <w:top w:val="nil"/>
              <w:left w:val="nil"/>
              <w:bottom w:val="single" w:sz="4" w:space="0" w:color="auto"/>
              <w:right w:val="single" w:sz="4" w:space="0" w:color="auto"/>
            </w:tcBorders>
            <w:shd w:val="clear" w:color="auto" w:fill="auto"/>
            <w:noWrap/>
            <w:vAlign w:val="center"/>
            <w:hideMark/>
          </w:tcPr>
          <w:p w14:paraId="5C9B225E" w14:textId="77777777" w:rsidR="00825963" w:rsidRPr="002629C2" w:rsidRDefault="00825963" w:rsidP="00F60E7C">
            <w:pPr>
              <w:spacing w:after="0" w:line="240" w:lineRule="auto"/>
              <w:contextualSpacing/>
              <w:jc w:val="center"/>
              <w:rPr>
                <w:rFonts w:ascii="Times New Roman" w:eastAsia="Times New Roman" w:hAnsi="Times New Roman" w:cs="Times New Roman"/>
                <w:color w:val="000000"/>
                <w:sz w:val="20"/>
                <w:szCs w:val="24"/>
                <w:lang w:eastAsia="en-US"/>
              </w:rPr>
            </w:pPr>
            <w:r w:rsidRPr="002629C2">
              <w:rPr>
                <w:rFonts w:ascii="Times New Roman" w:eastAsia="Times New Roman" w:hAnsi="Times New Roman" w:cs="Times New Roman"/>
                <w:color w:val="000000"/>
                <w:sz w:val="20"/>
                <w:szCs w:val="24"/>
                <w:lang w:eastAsia="en-US"/>
              </w:rPr>
              <w:t>8%</w:t>
            </w:r>
          </w:p>
        </w:tc>
      </w:tr>
      <w:tr w:rsidR="00825963" w:rsidRPr="00BA13C3" w14:paraId="4C4184AC" w14:textId="77777777" w:rsidTr="002629C2">
        <w:trPr>
          <w:trHeight w:val="630"/>
          <w:jc w:val="center"/>
        </w:trPr>
        <w:tc>
          <w:tcPr>
            <w:tcW w:w="1981" w:type="dxa"/>
            <w:tcBorders>
              <w:top w:val="nil"/>
              <w:left w:val="single" w:sz="4" w:space="0" w:color="auto"/>
              <w:bottom w:val="single" w:sz="4" w:space="0" w:color="auto"/>
              <w:right w:val="single" w:sz="4" w:space="0" w:color="auto"/>
            </w:tcBorders>
            <w:shd w:val="clear" w:color="auto" w:fill="auto"/>
            <w:vAlign w:val="center"/>
            <w:hideMark/>
          </w:tcPr>
          <w:p w14:paraId="127C5CA2" w14:textId="77777777" w:rsidR="00825963" w:rsidRPr="002629C2" w:rsidRDefault="00825963" w:rsidP="00F60E7C">
            <w:pPr>
              <w:spacing w:after="0" w:line="240" w:lineRule="auto"/>
              <w:contextualSpacing/>
              <w:rPr>
                <w:rFonts w:ascii="Times New Roman" w:eastAsia="Times New Roman" w:hAnsi="Times New Roman" w:cs="Times New Roman"/>
                <w:color w:val="000000"/>
                <w:sz w:val="20"/>
                <w:szCs w:val="24"/>
                <w:lang w:eastAsia="en-US"/>
              </w:rPr>
            </w:pPr>
            <w:r w:rsidRPr="002629C2">
              <w:rPr>
                <w:rFonts w:ascii="Times New Roman" w:eastAsia="Times New Roman" w:hAnsi="Times New Roman" w:cs="Times New Roman"/>
                <w:color w:val="000000"/>
                <w:sz w:val="20"/>
                <w:szCs w:val="24"/>
                <w:lang w:eastAsia="en-US"/>
              </w:rPr>
              <w:t>Amortization period</w:t>
            </w:r>
          </w:p>
        </w:tc>
        <w:tc>
          <w:tcPr>
            <w:tcW w:w="1400" w:type="dxa"/>
            <w:tcBorders>
              <w:top w:val="nil"/>
              <w:left w:val="nil"/>
              <w:bottom w:val="single" w:sz="4" w:space="0" w:color="auto"/>
              <w:right w:val="single" w:sz="4" w:space="0" w:color="auto"/>
            </w:tcBorders>
            <w:shd w:val="clear" w:color="auto" w:fill="auto"/>
            <w:noWrap/>
            <w:vAlign w:val="center"/>
            <w:hideMark/>
          </w:tcPr>
          <w:p w14:paraId="47FA6B1F" w14:textId="77777777" w:rsidR="00825963" w:rsidRPr="002629C2" w:rsidRDefault="00825963" w:rsidP="00F60E7C">
            <w:pPr>
              <w:spacing w:after="0" w:line="240" w:lineRule="auto"/>
              <w:contextualSpacing/>
              <w:jc w:val="center"/>
              <w:rPr>
                <w:rFonts w:ascii="Times New Roman" w:eastAsia="Times New Roman" w:hAnsi="Times New Roman" w:cs="Times New Roman"/>
                <w:color w:val="000000"/>
                <w:sz w:val="20"/>
                <w:szCs w:val="24"/>
                <w:lang w:eastAsia="en-US"/>
              </w:rPr>
            </w:pPr>
            <w:r w:rsidRPr="002629C2">
              <w:rPr>
                <w:rFonts w:ascii="Times New Roman" w:eastAsia="Times New Roman" w:hAnsi="Times New Roman" w:cs="Times New Roman"/>
                <w:color w:val="000000"/>
                <w:sz w:val="20"/>
                <w:szCs w:val="24"/>
                <w:lang w:eastAsia="en-US"/>
              </w:rPr>
              <w:t>1.32</w:t>
            </w:r>
          </w:p>
        </w:tc>
        <w:tc>
          <w:tcPr>
            <w:tcW w:w="1176" w:type="dxa"/>
            <w:tcBorders>
              <w:top w:val="nil"/>
              <w:left w:val="nil"/>
              <w:bottom w:val="single" w:sz="4" w:space="0" w:color="auto"/>
              <w:right w:val="single" w:sz="4" w:space="0" w:color="auto"/>
            </w:tcBorders>
            <w:shd w:val="clear" w:color="auto" w:fill="auto"/>
            <w:noWrap/>
            <w:vAlign w:val="center"/>
            <w:hideMark/>
          </w:tcPr>
          <w:p w14:paraId="6CEC6DE8" w14:textId="77777777" w:rsidR="00825963" w:rsidRPr="002629C2" w:rsidRDefault="00825963" w:rsidP="00F60E7C">
            <w:pPr>
              <w:spacing w:after="0" w:line="240" w:lineRule="auto"/>
              <w:contextualSpacing/>
              <w:jc w:val="center"/>
              <w:rPr>
                <w:rFonts w:ascii="Times New Roman" w:eastAsia="Times New Roman" w:hAnsi="Times New Roman" w:cs="Times New Roman"/>
                <w:color w:val="000000"/>
                <w:sz w:val="20"/>
                <w:szCs w:val="24"/>
                <w:lang w:eastAsia="en-US"/>
              </w:rPr>
            </w:pPr>
            <w:r w:rsidRPr="002629C2">
              <w:rPr>
                <w:rFonts w:ascii="Times New Roman" w:eastAsia="Times New Roman" w:hAnsi="Times New Roman" w:cs="Times New Roman"/>
                <w:color w:val="000000"/>
                <w:sz w:val="20"/>
                <w:szCs w:val="24"/>
                <w:lang w:eastAsia="en-US"/>
              </w:rPr>
              <w:t>20</w:t>
            </w:r>
          </w:p>
        </w:tc>
        <w:tc>
          <w:tcPr>
            <w:tcW w:w="1163" w:type="dxa"/>
            <w:tcBorders>
              <w:top w:val="nil"/>
              <w:left w:val="nil"/>
              <w:bottom w:val="single" w:sz="4" w:space="0" w:color="auto"/>
              <w:right w:val="single" w:sz="4" w:space="0" w:color="auto"/>
            </w:tcBorders>
            <w:shd w:val="clear" w:color="auto" w:fill="auto"/>
            <w:noWrap/>
            <w:vAlign w:val="center"/>
            <w:hideMark/>
          </w:tcPr>
          <w:p w14:paraId="454161D4" w14:textId="77777777" w:rsidR="00825963" w:rsidRPr="002629C2" w:rsidRDefault="00825963" w:rsidP="00F60E7C">
            <w:pPr>
              <w:spacing w:after="0" w:line="240" w:lineRule="auto"/>
              <w:contextualSpacing/>
              <w:jc w:val="center"/>
              <w:rPr>
                <w:rFonts w:ascii="Times New Roman" w:eastAsia="Times New Roman" w:hAnsi="Times New Roman" w:cs="Times New Roman"/>
                <w:color w:val="000000"/>
                <w:sz w:val="20"/>
                <w:szCs w:val="24"/>
                <w:lang w:eastAsia="en-US"/>
              </w:rPr>
            </w:pPr>
            <w:r w:rsidRPr="002629C2">
              <w:rPr>
                <w:rFonts w:ascii="Times New Roman" w:eastAsia="Times New Roman" w:hAnsi="Times New Roman" w:cs="Times New Roman"/>
                <w:color w:val="000000"/>
                <w:sz w:val="20"/>
                <w:szCs w:val="24"/>
                <w:lang w:eastAsia="en-US"/>
              </w:rPr>
              <w:t>29</w:t>
            </w:r>
          </w:p>
        </w:tc>
        <w:tc>
          <w:tcPr>
            <w:tcW w:w="1163" w:type="dxa"/>
            <w:tcBorders>
              <w:top w:val="nil"/>
              <w:left w:val="nil"/>
              <w:bottom w:val="single" w:sz="4" w:space="0" w:color="auto"/>
              <w:right w:val="single" w:sz="4" w:space="0" w:color="auto"/>
            </w:tcBorders>
            <w:shd w:val="clear" w:color="auto" w:fill="auto"/>
            <w:noWrap/>
            <w:vAlign w:val="center"/>
            <w:hideMark/>
          </w:tcPr>
          <w:p w14:paraId="7852E84A" w14:textId="77777777" w:rsidR="00825963" w:rsidRPr="002629C2" w:rsidRDefault="00825963" w:rsidP="00F60E7C">
            <w:pPr>
              <w:spacing w:after="0" w:line="240" w:lineRule="auto"/>
              <w:contextualSpacing/>
              <w:jc w:val="center"/>
              <w:rPr>
                <w:rFonts w:ascii="Times New Roman" w:eastAsia="Times New Roman" w:hAnsi="Times New Roman" w:cs="Times New Roman"/>
                <w:color w:val="000000"/>
                <w:sz w:val="20"/>
                <w:szCs w:val="24"/>
                <w:lang w:eastAsia="en-US"/>
              </w:rPr>
            </w:pPr>
            <w:r w:rsidRPr="002629C2">
              <w:rPr>
                <w:rFonts w:ascii="Times New Roman" w:eastAsia="Times New Roman" w:hAnsi="Times New Roman" w:cs="Times New Roman"/>
                <w:color w:val="000000"/>
                <w:sz w:val="20"/>
                <w:szCs w:val="24"/>
                <w:lang w:eastAsia="en-US"/>
              </w:rPr>
              <w:t>30</w:t>
            </w:r>
          </w:p>
        </w:tc>
        <w:tc>
          <w:tcPr>
            <w:tcW w:w="1163" w:type="dxa"/>
            <w:tcBorders>
              <w:top w:val="nil"/>
              <w:left w:val="nil"/>
              <w:bottom w:val="single" w:sz="4" w:space="0" w:color="auto"/>
              <w:right w:val="single" w:sz="4" w:space="0" w:color="auto"/>
            </w:tcBorders>
            <w:shd w:val="clear" w:color="auto" w:fill="auto"/>
            <w:noWrap/>
            <w:vAlign w:val="center"/>
            <w:hideMark/>
          </w:tcPr>
          <w:p w14:paraId="1FA65CC4" w14:textId="77777777" w:rsidR="00825963" w:rsidRPr="002629C2" w:rsidRDefault="00825963" w:rsidP="00F60E7C">
            <w:pPr>
              <w:spacing w:after="0" w:line="240" w:lineRule="auto"/>
              <w:contextualSpacing/>
              <w:jc w:val="center"/>
              <w:rPr>
                <w:rFonts w:ascii="Times New Roman" w:eastAsia="Times New Roman" w:hAnsi="Times New Roman" w:cs="Times New Roman"/>
                <w:color w:val="000000"/>
                <w:sz w:val="20"/>
                <w:szCs w:val="24"/>
                <w:lang w:eastAsia="en-US"/>
              </w:rPr>
            </w:pPr>
            <w:r w:rsidRPr="002629C2">
              <w:rPr>
                <w:rFonts w:ascii="Times New Roman" w:eastAsia="Times New Roman" w:hAnsi="Times New Roman" w:cs="Times New Roman"/>
                <w:color w:val="000000"/>
                <w:sz w:val="20"/>
                <w:szCs w:val="24"/>
                <w:lang w:eastAsia="en-US"/>
              </w:rPr>
              <w:t>100</w:t>
            </w:r>
          </w:p>
        </w:tc>
      </w:tr>
    </w:tbl>
    <w:p w14:paraId="43F50EDB" w14:textId="77777777" w:rsidR="00DB432C" w:rsidRDefault="00DB432C" w:rsidP="00F60E7C">
      <w:pPr>
        <w:spacing w:after="0" w:line="240" w:lineRule="auto"/>
        <w:contextualSpacing/>
        <w:jc w:val="center"/>
        <w:rPr>
          <w:rFonts w:ascii="Times New Roman" w:hAnsi="Times New Roman" w:cs="Times New Roman"/>
          <w:sz w:val="24"/>
          <w:szCs w:val="24"/>
        </w:rPr>
      </w:pPr>
    </w:p>
    <w:p w14:paraId="0222E3A5" w14:textId="77777777" w:rsidR="005E4DB5" w:rsidRDefault="005E4DB5" w:rsidP="005E4DB5">
      <w:pPr>
        <w:rPr>
          <w:rFonts w:ascii="Times New Roman" w:hAnsi="Times New Roman" w:cs="Times New Roman"/>
          <w:szCs w:val="24"/>
        </w:rPr>
      </w:pPr>
    </w:p>
    <w:p w14:paraId="59AC7D5A" w14:textId="77777777" w:rsidR="005E4DB5" w:rsidRDefault="005E4DB5" w:rsidP="005E4DB5">
      <w:pPr>
        <w:rPr>
          <w:rFonts w:ascii="Times New Roman" w:hAnsi="Times New Roman" w:cs="Times New Roman"/>
          <w:szCs w:val="24"/>
        </w:rPr>
      </w:pPr>
    </w:p>
    <w:p w14:paraId="17CADB26" w14:textId="2B9C350D" w:rsidR="00F60E7C" w:rsidRPr="00F60E7C" w:rsidRDefault="00825963" w:rsidP="005E4DB5">
      <w:pPr>
        <w:jc w:val="center"/>
        <w:rPr>
          <w:rFonts w:ascii="Times New Roman" w:hAnsi="Times New Roman" w:cs="Times New Roman"/>
          <w:szCs w:val="24"/>
        </w:rPr>
      </w:pPr>
      <w:r w:rsidRPr="00F60E7C">
        <w:rPr>
          <w:rFonts w:ascii="Times New Roman" w:hAnsi="Times New Roman" w:cs="Times New Roman"/>
          <w:szCs w:val="24"/>
        </w:rPr>
        <w:t xml:space="preserve">Table 2: Variations </w:t>
      </w:r>
      <w:r w:rsidR="00BA57A5" w:rsidRPr="00F60E7C">
        <w:rPr>
          <w:rFonts w:ascii="Times New Roman" w:hAnsi="Times New Roman" w:cs="Times New Roman"/>
          <w:szCs w:val="24"/>
        </w:rPr>
        <w:t>in using actuarial cost methods</w:t>
      </w:r>
    </w:p>
    <w:tbl>
      <w:tblPr>
        <w:tblStyle w:val="TableGrid"/>
        <w:tblW w:w="0" w:type="auto"/>
        <w:jc w:val="center"/>
        <w:tblLook w:val="04A0" w:firstRow="1" w:lastRow="0" w:firstColumn="1" w:lastColumn="0" w:noHBand="0" w:noVBand="1"/>
      </w:tblPr>
      <w:tblGrid>
        <w:gridCol w:w="3429"/>
        <w:gridCol w:w="2114"/>
      </w:tblGrid>
      <w:tr w:rsidR="00F30D46" w14:paraId="773EEC9A" w14:textId="77777777" w:rsidTr="009A06A1">
        <w:trPr>
          <w:jc w:val="center"/>
        </w:trPr>
        <w:tc>
          <w:tcPr>
            <w:tcW w:w="3429" w:type="dxa"/>
          </w:tcPr>
          <w:p w14:paraId="17AFB539" w14:textId="77777777" w:rsidR="00825963" w:rsidRDefault="00825963" w:rsidP="00F60E7C">
            <w:pPr>
              <w:contextualSpacing/>
              <w:rPr>
                <w:rFonts w:ascii="Times New Roman" w:hAnsi="Times New Roman" w:cs="Times New Roman"/>
                <w:sz w:val="24"/>
                <w:szCs w:val="24"/>
              </w:rPr>
            </w:pPr>
          </w:p>
        </w:tc>
        <w:tc>
          <w:tcPr>
            <w:tcW w:w="2114" w:type="dxa"/>
            <w:vAlign w:val="center"/>
          </w:tcPr>
          <w:p w14:paraId="4AC80A46" w14:textId="70BD2407" w:rsidR="00825963" w:rsidRDefault="002629C2" w:rsidP="00F60E7C">
            <w:pPr>
              <w:contextualSpacing/>
              <w:jc w:val="center"/>
              <w:rPr>
                <w:rFonts w:ascii="Times New Roman" w:hAnsi="Times New Roman" w:cs="Times New Roman"/>
                <w:sz w:val="24"/>
                <w:szCs w:val="24"/>
              </w:rPr>
            </w:pPr>
            <w:r>
              <w:rPr>
                <w:rFonts w:ascii="Times New Roman" w:hAnsi="Times New Roman" w:cs="Times New Roman"/>
                <w:sz w:val="24"/>
                <w:szCs w:val="24"/>
              </w:rPr>
              <w:t>Incidence in Public Pension Plans</w:t>
            </w:r>
          </w:p>
        </w:tc>
      </w:tr>
      <w:tr w:rsidR="00F30D46" w14:paraId="5FA6EF8D" w14:textId="77777777" w:rsidTr="009A06A1">
        <w:trPr>
          <w:trHeight w:val="287"/>
          <w:jc w:val="center"/>
        </w:trPr>
        <w:tc>
          <w:tcPr>
            <w:tcW w:w="3429" w:type="dxa"/>
          </w:tcPr>
          <w:p w14:paraId="4407D398" w14:textId="2910304C" w:rsidR="00825963" w:rsidRDefault="00825963" w:rsidP="00F60E7C">
            <w:pPr>
              <w:contextualSpacing/>
              <w:rPr>
                <w:rFonts w:ascii="Times New Roman" w:hAnsi="Times New Roman" w:cs="Times New Roman"/>
                <w:sz w:val="24"/>
                <w:szCs w:val="24"/>
              </w:rPr>
            </w:pPr>
            <w:r>
              <w:rPr>
                <w:rFonts w:ascii="Times New Roman" w:hAnsi="Times New Roman" w:cs="Times New Roman"/>
                <w:sz w:val="24"/>
                <w:szCs w:val="24"/>
              </w:rPr>
              <w:t>E</w:t>
            </w:r>
            <w:r w:rsidRPr="009E527C">
              <w:rPr>
                <w:rFonts w:ascii="Times New Roman" w:hAnsi="Times New Roman" w:cs="Times New Roman"/>
                <w:sz w:val="24"/>
                <w:szCs w:val="24"/>
              </w:rPr>
              <w:t xml:space="preserve">ntry </w:t>
            </w:r>
            <w:r w:rsidR="009A06A1">
              <w:rPr>
                <w:rFonts w:ascii="Times New Roman" w:hAnsi="Times New Roman" w:cs="Times New Roman"/>
                <w:sz w:val="24"/>
                <w:szCs w:val="24"/>
              </w:rPr>
              <w:t>A</w:t>
            </w:r>
            <w:r w:rsidR="009A06A1" w:rsidRPr="009E527C">
              <w:rPr>
                <w:rFonts w:ascii="Times New Roman" w:hAnsi="Times New Roman" w:cs="Times New Roman"/>
                <w:sz w:val="24"/>
                <w:szCs w:val="24"/>
              </w:rPr>
              <w:t>ge Normal</w:t>
            </w:r>
            <w:r w:rsidR="009A06A1">
              <w:rPr>
                <w:rFonts w:ascii="Times New Roman" w:hAnsi="Times New Roman" w:cs="Times New Roman"/>
                <w:sz w:val="24"/>
                <w:szCs w:val="24"/>
              </w:rPr>
              <w:t xml:space="preserve"> </w:t>
            </w:r>
            <w:r>
              <w:rPr>
                <w:rFonts w:ascii="Times New Roman" w:hAnsi="Times New Roman" w:cs="Times New Roman"/>
                <w:sz w:val="24"/>
                <w:szCs w:val="24"/>
              </w:rPr>
              <w:t>(EAN)</w:t>
            </w:r>
          </w:p>
        </w:tc>
        <w:tc>
          <w:tcPr>
            <w:tcW w:w="2114" w:type="dxa"/>
            <w:vAlign w:val="center"/>
          </w:tcPr>
          <w:p w14:paraId="7B4D4D99" w14:textId="21876FD7" w:rsidR="00825963" w:rsidRDefault="00F30D46" w:rsidP="00F60E7C">
            <w:pPr>
              <w:ind w:left="720"/>
              <w:contextualSpacing/>
              <w:jc w:val="right"/>
              <w:rPr>
                <w:rFonts w:ascii="Times New Roman" w:hAnsi="Times New Roman" w:cs="Times New Roman"/>
                <w:sz w:val="24"/>
                <w:szCs w:val="24"/>
              </w:rPr>
            </w:pPr>
            <w:r>
              <w:rPr>
                <w:rFonts w:ascii="Times New Roman" w:hAnsi="Times New Roman" w:cs="Times New Roman"/>
                <w:sz w:val="24"/>
                <w:szCs w:val="24"/>
              </w:rPr>
              <w:t>72%</w:t>
            </w:r>
          </w:p>
        </w:tc>
      </w:tr>
      <w:tr w:rsidR="00F30D46" w14:paraId="3E486D40" w14:textId="77777777" w:rsidTr="009A06A1">
        <w:trPr>
          <w:jc w:val="center"/>
        </w:trPr>
        <w:tc>
          <w:tcPr>
            <w:tcW w:w="3429" w:type="dxa"/>
          </w:tcPr>
          <w:p w14:paraId="2240CF90" w14:textId="07C4C424" w:rsidR="00825963" w:rsidRDefault="00825963" w:rsidP="00F60E7C">
            <w:pPr>
              <w:contextualSpacing/>
              <w:rPr>
                <w:rFonts w:ascii="Times New Roman" w:hAnsi="Times New Roman" w:cs="Times New Roman"/>
                <w:sz w:val="24"/>
                <w:szCs w:val="24"/>
              </w:rPr>
            </w:pPr>
            <w:r>
              <w:rPr>
                <w:rFonts w:ascii="Times New Roman" w:hAnsi="Times New Roman" w:cs="Times New Roman"/>
                <w:sz w:val="24"/>
                <w:szCs w:val="24"/>
              </w:rPr>
              <w:t xml:space="preserve">Projected </w:t>
            </w:r>
            <w:r w:rsidR="009A06A1">
              <w:rPr>
                <w:rFonts w:ascii="Times New Roman" w:hAnsi="Times New Roman" w:cs="Times New Roman"/>
                <w:sz w:val="24"/>
                <w:szCs w:val="24"/>
              </w:rPr>
              <w:t xml:space="preserve">Unit Credit </w:t>
            </w:r>
            <w:r>
              <w:rPr>
                <w:rFonts w:ascii="Times New Roman" w:hAnsi="Times New Roman" w:cs="Times New Roman"/>
                <w:sz w:val="24"/>
                <w:szCs w:val="24"/>
              </w:rPr>
              <w:t>(PUC)</w:t>
            </w:r>
          </w:p>
        </w:tc>
        <w:tc>
          <w:tcPr>
            <w:tcW w:w="2114" w:type="dxa"/>
            <w:vAlign w:val="center"/>
          </w:tcPr>
          <w:p w14:paraId="2B678AE6" w14:textId="4B5F9518" w:rsidR="00825963" w:rsidRDefault="007B2D21" w:rsidP="00F60E7C">
            <w:pPr>
              <w:contextualSpacing/>
              <w:jc w:val="right"/>
              <w:rPr>
                <w:rFonts w:ascii="Times New Roman" w:hAnsi="Times New Roman" w:cs="Times New Roman"/>
                <w:sz w:val="24"/>
                <w:szCs w:val="24"/>
              </w:rPr>
            </w:pPr>
            <w:r>
              <w:rPr>
                <w:rFonts w:ascii="Times New Roman" w:hAnsi="Times New Roman" w:cs="Times New Roman"/>
                <w:sz w:val="24"/>
                <w:szCs w:val="24"/>
              </w:rPr>
              <w:t>1</w:t>
            </w:r>
            <w:r w:rsidR="00F30D46">
              <w:rPr>
                <w:rFonts w:ascii="Times New Roman" w:hAnsi="Times New Roman" w:cs="Times New Roman"/>
                <w:sz w:val="24"/>
                <w:szCs w:val="24"/>
              </w:rPr>
              <w:t>3%</w:t>
            </w:r>
          </w:p>
        </w:tc>
      </w:tr>
      <w:tr w:rsidR="00F30D46" w14:paraId="718BB405" w14:textId="77777777" w:rsidTr="009A06A1">
        <w:trPr>
          <w:jc w:val="center"/>
        </w:trPr>
        <w:tc>
          <w:tcPr>
            <w:tcW w:w="3429" w:type="dxa"/>
          </w:tcPr>
          <w:p w14:paraId="7B9405F7" w14:textId="4B894D77" w:rsidR="00825963" w:rsidRDefault="009A06A1" w:rsidP="00F60E7C">
            <w:pPr>
              <w:contextualSpacing/>
              <w:rPr>
                <w:rFonts w:ascii="Times New Roman" w:hAnsi="Times New Roman" w:cs="Times New Roman"/>
                <w:sz w:val="24"/>
                <w:szCs w:val="24"/>
              </w:rPr>
            </w:pPr>
            <w:r>
              <w:rPr>
                <w:rFonts w:ascii="Times New Roman" w:hAnsi="Times New Roman" w:cs="Times New Roman"/>
                <w:sz w:val="24"/>
                <w:szCs w:val="24"/>
              </w:rPr>
              <w:t>Aggregate C</w:t>
            </w:r>
            <w:r w:rsidR="00825963">
              <w:rPr>
                <w:rFonts w:ascii="Times New Roman" w:hAnsi="Times New Roman" w:cs="Times New Roman"/>
                <w:sz w:val="24"/>
                <w:szCs w:val="24"/>
              </w:rPr>
              <w:t>ost (A</w:t>
            </w:r>
            <w:r w:rsidR="002629C2">
              <w:rPr>
                <w:rFonts w:ascii="Times New Roman" w:hAnsi="Times New Roman" w:cs="Times New Roman"/>
                <w:sz w:val="24"/>
                <w:szCs w:val="24"/>
              </w:rPr>
              <w:t>GG</w:t>
            </w:r>
            <w:r w:rsidR="00825963">
              <w:rPr>
                <w:rFonts w:ascii="Times New Roman" w:hAnsi="Times New Roman" w:cs="Times New Roman"/>
                <w:sz w:val="24"/>
                <w:szCs w:val="24"/>
              </w:rPr>
              <w:t>)</w:t>
            </w:r>
          </w:p>
        </w:tc>
        <w:tc>
          <w:tcPr>
            <w:tcW w:w="2114" w:type="dxa"/>
            <w:vAlign w:val="center"/>
          </w:tcPr>
          <w:p w14:paraId="78B5CD23" w14:textId="2CE7A89D" w:rsidR="00825963" w:rsidRDefault="002629C2" w:rsidP="00F60E7C">
            <w:pPr>
              <w:contextualSpacing/>
              <w:jc w:val="right"/>
              <w:rPr>
                <w:rFonts w:ascii="Times New Roman" w:hAnsi="Times New Roman" w:cs="Times New Roman"/>
                <w:sz w:val="24"/>
                <w:szCs w:val="24"/>
              </w:rPr>
            </w:pPr>
            <w:r>
              <w:rPr>
                <w:rFonts w:ascii="Times New Roman" w:hAnsi="Times New Roman" w:cs="Times New Roman"/>
                <w:sz w:val="24"/>
                <w:szCs w:val="24"/>
              </w:rPr>
              <w:t>8</w:t>
            </w:r>
            <w:r w:rsidR="00F30D46">
              <w:rPr>
                <w:rFonts w:ascii="Times New Roman" w:hAnsi="Times New Roman" w:cs="Times New Roman"/>
                <w:sz w:val="24"/>
                <w:szCs w:val="24"/>
              </w:rPr>
              <w:t>%</w:t>
            </w:r>
          </w:p>
        </w:tc>
      </w:tr>
      <w:tr w:rsidR="00F30D46" w14:paraId="13116A69" w14:textId="77777777" w:rsidTr="009A06A1">
        <w:trPr>
          <w:jc w:val="center"/>
        </w:trPr>
        <w:tc>
          <w:tcPr>
            <w:tcW w:w="3429" w:type="dxa"/>
          </w:tcPr>
          <w:p w14:paraId="17860AD8" w14:textId="632D8724" w:rsidR="00825963" w:rsidRDefault="002629C2">
            <w:pPr>
              <w:contextualSpacing/>
              <w:rPr>
                <w:rFonts w:ascii="Times New Roman" w:hAnsi="Times New Roman" w:cs="Times New Roman"/>
                <w:sz w:val="24"/>
                <w:szCs w:val="24"/>
              </w:rPr>
            </w:pPr>
            <w:r>
              <w:rPr>
                <w:rFonts w:ascii="Times New Roman" w:hAnsi="Times New Roman" w:cs="Times New Roman"/>
                <w:sz w:val="24"/>
                <w:szCs w:val="24"/>
              </w:rPr>
              <w:t>O</w:t>
            </w:r>
            <w:r w:rsidR="00825963">
              <w:rPr>
                <w:rFonts w:ascii="Times New Roman" w:hAnsi="Times New Roman" w:cs="Times New Roman"/>
                <w:sz w:val="24"/>
                <w:szCs w:val="24"/>
              </w:rPr>
              <w:t>ther methods</w:t>
            </w:r>
            <w:r>
              <w:rPr>
                <w:rFonts w:ascii="Times New Roman" w:hAnsi="Times New Roman" w:cs="Times New Roman"/>
                <w:sz w:val="24"/>
                <w:szCs w:val="24"/>
              </w:rPr>
              <w:t xml:space="preserve"> (e.g., </w:t>
            </w:r>
            <w:r w:rsidR="00122ED8">
              <w:rPr>
                <w:rFonts w:ascii="Times New Roman" w:hAnsi="Times New Roman" w:cs="Times New Roman"/>
                <w:sz w:val="24"/>
                <w:szCs w:val="24"/>
              </w:rPr>
              <w:t>frozen initial liability</w:t>
            </w:r>
            <w:r>
              <w:rPr>
                <w:rFonts w:ascii="Times New Roman" w:hAnsi="Times New Roman" w:cs="Times New Roman"/>
                <w:sz w:val="24"/>
                <w:szCs w:val="24"/>
              </w:rPr>
              <w:t>)</w:t>
            </w:r>
          </w:p>
        </w:tc>
        <w:tc>
          <w:tcPr>
            <w:tcW w:w="2114" w:type="dxa"/>
            <w:vAlign w:val="center"/>
          </w:tcPr>
          <w:p w14:paraId="0C5AD105" w14:textId="7D93366D" w:rsidR="00825963" w:rsidRDefault="00F30D46" w:rsidP="00F60E7C">
            <w:pPr>
              <w:contextualSpacing/>
              <w:jc w:val="right"/>
              <w:rPr>
                <w:rFonts w:ascii="Times New Roman" w:hAnsi="Times New Roman" w:cs="Times New Roman"/>
                <w:sz w:val="24"/>
                <w:szCs w:val="24"/>
              </w:rPr>
            </w:pPr>
            <w:r>
              <w:rPr>
                <w:rFonts w:ascii="Times New Roman" w:hAnsi="Times New Roman" w:cs="Times New Roman"/>
                <w:sz w:val="24"/>
                <w:szCs w:val="24"/>
              </w:rPr>
              <w:t>7%</w:t>
            </w:r>
          </w:p>
        </w:tc>
      </w:tr>
    </w:tbl>
    <w:p w14:paraId="6E756976" w14:textId="77777777" w:rsidR="00DB432C" w:rsidRDefault="00DB432C" w:rsidP="00F60E7C">
      <w:pPr>
        <w:spacing w:line="240" w:lineRule="auto"/>
        <w:contextualSpacing/>
        <w:jc w:val="center"/>
        <w:rPr>
          <w:rFonts w:ascii="Times New Roman" w:hAnsi="Times New Roman" w:cs="Times New Roman"/>
          <w:sz w:val="24"/>
          <w:szCs w:val="24"/>
        </w:rPr>
      </w:pPr>
    </w:p>
    <w:p w14:paraId="39C58AB2" w14:textId="576BACE1" w:rsidR="005E4DB5" w:rsidRDefault="005E4DB5" w:rsidP="005E4DB5">
      <w:pPr>
        <w:tabs>
          <w:tab w:val="left" w:pos="6311"/>
        </w:tabs>
        <w:spacing w:line="240" w:lineRule="auto"/>
        <w:contextualSpacing/>
        <w:rPr>
          <w:rFonts w:ascii="Times New Roman" w:hAnsi="Times New Roman" w:cs="Times New Roman"/>
          <w:sz w:val="24"/>
          <w:szCs w:val="24"/>
        </w:rPr>
      </w:pPr>
      <w:r>
        <w:rPr>
          <w:rFonts w:ascii="Times New Roman" w:hAnsi="Times New Roman" w:cs="Times New Roman"/>
          <w:sz w:val="24"/>
          <w:szCs w:val="24"/>
        </w:rPr>
        <w:tab/>
      </w:r>
    </w:p>
    <w:p w14:paraId="58D40ABB" w14:textId="77777777" w:rsidR="005E4DB5" w:rsidRDefault="005E4DB5" w:rsidP="005E4DB5">
      <w:pPr>
        <w:tabs>
          <w:tab w:val="left" w:pos="6311"/>
        </w:tabs>
        <w:spacing w:line="240" w:lineRule="auto"/>
        <w:contextualSpacing/>
        <w:rPr>
          <w:rFonts w:ascii="Times New Roman" w:hAnsi="Times New Roman" w:cs="Times New Roman"/>
          <w:sz w:val="24"/>
          <w:szCs w:val="24"/>
        </w:rPr>
      </w:pPr>
    </w:p>
    <w:p w14:paraId="5C45FEB2" w14:textId="22ABF43D" w:rsidR="00F60E7C" w:rsidRPr="005E4DB5" w:rsidRDefault="00825963" w:rsidP="005E4DB5">
      <w:pPr>
        <w:jc w:val="center"/>
        <w:rPr>
          <w:rFonts w:ascii="Times New Roman" w:hAnsi="Times New Roman" w:cs="Times New Roman"/>
          <w:szCs w:val="24"/>
        </w:rPr>
      </w:pPr>
      <w:r w:rsidRPr="00F60E7C">
        <w:rPr>
          <w:rFonts w:ascii="Times New Roman" w:hAnsi="Times New Roman" w:cs="Times New Roman"/>
          <w:szCs w:val="24"/>
        </w:rPr>
        <w:t xml:space="preserve">Table 3: </w:t>
      </w:r>
      <w:r w:rsidR="00472F22" w:rsidRPr="00F60E7C">
        <w:rPr>
          <w:rFonts w:ascii="Times New Roman" w:hAnsi="Times New Roman" w:cs="Times New Roman"/>
          <w:szCs w:val="24"/>
        </w:rPr>
        <w:t>Comparing the simulation results to observed conditions in actual public pensions</w:t>
      </w:r>
    </w:p>
    <w:tbl>
      <w:tblPr>
        <w:tblStyle w:val="TableGrid"/>
        <w:tblW w:w="0" w:type="auto"/>
        <w:tblLook w:val="04A0" w:firstRow="1" w:lastRow="0" w:firstColumn="1" w:lastColumn="0" w:noHBand="0" w:noVBand="1"/>
      </w:tblPr>
      <w:tblGrid>
        <w:gridCol w:w="1998"/>
        <w:gridCol w:w="3060"/>
        <w:gridCol w:w="2340"/>
        <w:gridCol w:w="2178"/>
      </w:tblGrid>
      <w:tr w:rsidR="005E4DB5" w:rsidRPr="001849D9" w14:paraId="1161CFA5" w14:textId="77777777" w:rsidTr="002C2257">
        <w:tc>
          <w:tcPr>
            <w:tcW w:w="1998" w:type="dxa"/>
            <w:vMerge w:val="restart"/>
          </w:tcPr>
          <w:p w14:paraId="378A38FD" w14:textId="77777777" w:rsidR="005E4DB5" w:rsidRPr="00D5611E" w:rsidRDefault="005E4DB5" w:rsidP="002C2257">
            <w:pPr>
              <w:contextualSpacing/>
              <w:rPr>
                <w:rFonts w:ascii="Times New Roman" w:hAnsi="Times New Roman" w:cs="Times New Roman"/>
                <w:sz w:val="20"/>
                <w:szCs w:val="24"/>
              </w:rPr>
            </w:pPr>
          </w:p>
        </w:tc>
        <w:tc>
          <w:tcPr>
            <w:tcW w:w="3060" w:type="dxa"/>
            <w:vMerge w:val="restart"/>
            <w:vAlign w:val="center"/>
          </w:tcPr>
          <w:p w14:paraId="4CB91C6C" w14:textId="77777777" w:rsidR="005E4DB5" w:rsidRPr="00D5611E" w:rsidRDefault="005E4DB5" w:rsidP="002C2257">
            <w:pPr>
              <w:contextualSpacing/>
              <w:jc w:val="center"/>
              <w:rPr>
                <w:rFonts w:ascii="Times New Roman" w:hAnsi="Times New Roman" w:cs="Times New Roman"/>
                <w:sz w:val="20"/>
                <w:szCs w:val="24"/>
              </w:rPr>
            </w:pPr>
            <w:r>
              <w:rPr>
                <w:rFonts w:ascii="Times New Roman" w:hAnsi="Times New Roman" w:cs="Times New Roman"/>
                <w:sz w:val="20"/>
                <w:szCs w:val="24"/>
              </w:rPr>
              <w:t>Test results when assumptions are set to the median conditions the PPD (see note)</w:t>
            </w:r>
          </w:p>
        </w:tc>
        <w:tc>
          <w:tcPr>
            <w:tcW w:w="4518" w:type="dxa"/>
            <w:gridSpan w:val="2"/>
          </w:tcPr>
          <w:p w14:paraId="74844541" w14:textId="77777777" w:rsidR="005E4DB5" w:rsidRPr="00D5611E" w:rsidRDefault="005E4DB5" w:rsidP="002C2257">
            <w:pPr>
              <w:contextualSpacing/>
              <w:jc w:val="center"/>
              <w:rPr>
                <w:rFonts w:ascii="Times New Roman" w:hAnsi="Times New Roman" w:cs="Times New Roman"/>
                <w:sz w:val="20"/>
                <w:szCs w:val="24"/>
              </w:rPr>
            </w:pPr>
            <w:r>
              <w:rPr>
                <w:rFonts w:ascii="Times New Roman" w:hAnsi="Times New Roman" w:cs="Times New Roman"/>
                <w:sz w:val="20"/>
                <w:szCs w:val="24"/>
              </w:rPr>
              <w:t>Observed Conditions in the PPD data</w:t>
            </w:r>
          </w:p>
        </w:tc>
      </w:tr>
      <w:tr w:rsidR="005E4DB5" w:rsidRPr="001849D9" w14:paraId="083CC878" w14:textId="77777777" w:rsidTr="002C2257">
        <w:tc>
          <w:tcPr>
            <w:tcW w:w="1998" w:type="dxa"/>
            <w:vMerge/>
          </w:tcPr>
          <w:p w14:paraId="7067982C" w14:textId="77777777" w:rsidR="005E4DB5" w:rsidRPr="00D5611E" w:rsidRDefault="005E4DB5" w:rsidP="002C2257">
            <w:pPr>
              <w:contextualSpacing/>
              <w:rPr>
                <w:rFonts w:ascii="Times New Roman" w:hAnsi="Times New Roman" w:cs="Times New Roman"/>
                <w:sz w:val="20"/>
                <w:szCs w:val="24"/>
              </w:rPr>
            </w:pPr>
          </w:p>
        </w:tc>
        <w:tc>
          <w:tcPr>
            <w:tcW w:w="3060" w:type="dxa"/>
            <w:vMerge/>
          </w:tcPr>
          <w:p w14:paraId="5145C8C5" w14:textId="77777777" w:rsidR="005E4DB5" w:rsidRPr="00D5611E" w:rsidRDefault="005E4DB5" w:rsidP="002C2257">
            <w:pPr>
              <w:contextualSpacing/>
              <w:jc w:val="center"/>
              <w:rPr>
                <w:rFonts w:ascii="Times New Roman" w:hAnsi="Times New Roman" w:cs="Times New Roman"/>
                <w:sz w:val="20"/>
                <w:szCs w:val="24"/>
              </w:rPr>
            </w:pPr>
          </w:p>
        </w:tc>
        <w:tc>
          <w:tcPr>
            <w:tcW w:w="2340" w:type="dxa"/>
          </w:tcPr>
          <w:p w14:paraId="7D33FFE9" w14:textId="77777777" w:rsidR="005E4DB5" w:rsidRPr="00D5611E" w:rsidRDefault="005E4DB5" w:rsidP="002C2257">
            <w:pPr>
              <w:contextualSpacing/>
              <w:jc w:val="center"/>
              <w:rPr>
                <w:rFonts w:ascii="Times New Roman" w:hAnsi="Times New Roman" w:cs="Times New Roman"/>
                <w:sz w:val="20"/>
                <w:szCs w:val="24"/>
              </w:rPr>
            </w:pPr>
            <w:r>
              <w:rPr>
                <w:rFonts w:ascii="Times New Roman" w:hAnsi="Times New Roman" w:cs="Times New Roman"/>
                <w:sz w:val="20"/>
                <w:szCs w:val="24"/>
              </w:rPr>
              <w:t>Median</w:t>
            </w:r>
          </w:p>
        </w:tc>
        <w:tc>
          <w:tcPr>
            <w:tcW w:w="2178" w:type="dxa"/>
          </w:tcPr>
          <w:p w14:paraId="4EED7F63" w14:textId="77777777" w:rsidR="005E4DB5" w:rsidRPr="00D5611E" w:rsidRDefault="005E4DB5" w:rsidP="002C2257">
            <w:pPr>
              <w:contextualSpacing/>
              <w:jc w:val="center"/>
              <w:rPr>
                <w:rFonts w:ascii="Times New Roman" w:hAnsi="Times New Roman" w:cs="Times New Roman"/>
                <w:sz w:val="20"/>
                <w:szCs w:val="24"/>
              </w:rPr>
            </w:pPr>
            <w:r>
              <w:rPr>
                <w:rFonts w:ascii="Times New Roman" w:hAnsi="Times New Roman" w:cs="Times New Roman"/>
                <w:sz w:val="20"/>
                <w:szCs w:val="24"/>
              </w:rPr>
              <w:t>Mean</w:t>
            </w:r>
          </w:p>
        </w:tc>
      </w:tr>
      <w:tr w:rsidR="005E4DB5" w:rsidRPr="001849D9" w14:paraId="375E54A1" w14:textId="77777777" w:rsidTr="002C2257">
        <w:tc>
          <w:tcPr>
            <w:tcW w:w="1998" w:type="dxa"/>
          </w:tcPr>
          <w:p w14:paraId="1EE34C5B" w14:textId="77777777" w:rsidR="005E4DB5" w:rsidRPr="00D5611E" w:rsidRDefault="005E4DB5" w:rsidP="002C2257">
            <w:pPr>
              <w:contextualSpacing/>
              <w:rPr>
                <w:rFonts w:ascii="Times New Roman" w:hAnsi="Times New Roman" w:cs="Times New Roman"/>
                <w:sz w:val="20"/>
                <w:szCs w:val="24"/>
              </w:rPr>
            </w:pPr>
            <w:r>
              <w:rPr>
                <w:rFonts w:ascii="Times New Roman" w:hAnsi="Times New Roman" w:cs="Times New Roman"/>
                <w:sz w:val="20"/>
                <w:szCs w:val="24"/>
              </w:rPr>
              <w:t>Normal C</w:t>
            </w:r>
            <w:r w:rsidRPr="00D5611E">
              <w:rPr>
                <w:rFonts w:ascii="Times New Roman" w:hAnsi="Times New Roman" w:cs="Times New Roman"/>
                <w:sz w:val="20"/>
                <w:szCs w:val="24"/>
              </w:rPr>
              <w:t>ost</w:t>
            </w:r>
          </w:p>
        </w:tc>
        <w:tc>
          <w:tcPr>
            <w:tcW w:w="3060" w:type="dxa"/>
            <w:vAlign w:val="center"/>
          </w:tcPr>
          <w:p w14:paraId="10F511B5" w14:textId="77777777" w:rsidR="005E4DB5" w:rsidRPr="00D5611E" w:rsidRDefault="005E4DB5" w:rsidP="002C2257">
            <w:pPr>
              <w:contextualSpacing/>
              <w:jc w:val="center"/>
              <w:rPr>
                <w:rFonts w:ascii="Times New Roman" w:hAnsi="Times New Roman" w:cs="Times New Roman"/>
                <w:sz w:val="20"/>
                <w:szCs w:val="24"/>
              </w:rPr>
            </w:pPr>
            <w:r w:rsidRPr="00D5611E">
              <w:rPr>
                <w:rFonts w:ascii="Times New Roman" w:hAnsi="Times New Roman" w:cs="Times New Roman"/>
                <w:sz w:val="20"/>
                <w:szCs w:val="24"/>
              </w:rPr>
              <w:t>10.2</w:t>
            </w:r>
          </w:p>
        </w:tc>
        <w:tc>
          <w:tcPr>
            <w:tcW w:w="2340" w:type="dxa"/>
            <w:vAlign w:val="center"/>
          </w:tcPr>
          <w:p w14:paraId="24B50DA5" w14:textId="77777777" w:rsidR="005E4DB5" w:rsidRPr="00D5611E" w:rsidRDefault="005E4DB5" w:rsidP="002C2257">
            <w:pPr>
              <w:contextualSpacing/>
              <w:jc w:val="center"/>
              <w:rPr>
                <w:rFonts w:ascii="Times New Roman" w:hAnsi="Times New Roman" w:cs="Times New Roman"/>
                <w:sz w:val="20"/>
                <w:szCs w:val="24"/>
              </w:rPr>
            </w:pPr>
            <w:r>
              <w:rPr>
                <w:rFonts w:ascii="Times New Roman" w:hAnsi="Times New Roman" w:cs="Times New Roman"/>
                <w:sz w:val="20"/>
                <w:szCs w:val="24"/>
              </w:rPr>
              <w:t>12.0</w:t>
            </w:r>
          </w:p>
        </w:tc>
        <w:tc>
          <w:tcPr>
            <w:tcW w:w="2178" w:type="dxa"/>
            <w:vAlign w:val="center"/>
          </w:tcPr>
          <w:p w14:paraId="50D931F5" w14:textId="77777777" w:rsidR="005E4DB5" w:rsidRPr="00D5611E" w:rsidRDefault="005E4DB5" w:rsidP="002C2257">
            <w:pPr>
              <w:contextualSpacing/>
              <w:jc w:val="center"/>
              <w:rPr>
                <w:rFonts w:ascii="Times New Roman" w:hAnsi="Times New Roman" w:cs="Times New Roman"/>
                <w:sz w:val="20"/>
                <w:szCs w:val="24"/>
              </w:rPr>
            </w:pPr>
            <w:r>
              <w:rPr>
                <w:rFonts w:ascii="Times New Roman" w:hAnsi="Times New Roman" w:cs="Times New Roman"/>
                <w:sz w:val="20"/>
                <w:szCs w:val="24"/>
              </w:rPr>
              <w:t>13.0</w:t>
            </w:r>
          </w:p>
        </w:tc>
      </w:tr>
      <w:tr w:rsidR="005E4DB5" w:rsidRPr="001849D9" w14:paraId="4451507B" w14:textId="77777777" w:rsidTr="002C2257">
        <w:tc>
          <w:tcPr>
            <w:tcW w:w="1998" w:type="dxa"/>
          </w:tcPr>
          <w:p w14:paraId="38E1690C" w14:textId="77777777" w:rsidR="005E4DB5" w:rsidRPr="00D5611E" w:rsidRDefault="005E4DB5" w:rsidP="002C2257">
            <w:pPr>
              <w:contextualSpacing/>
              <w:rPr>
                <w:rFonts w:ascii="Times New Roman" w:hAnsi="Times New Roman" w:cs="Times New Roman"/>
                <w:sz w:val="20"/>
                <w:szCs w:val="24"/>
              </w:rPr>
            </w:pPr>
            <w:r>
              <w:rPr>
                <w:rFonts w:ascii="Times New Roman" w:hAnsi="Times New Roman" w:cs="Times New Roman"/>
                <w:sz w:val="20"/>
                <w:szCs w:val="24"/>
              </w:rPr>
              <w:t>Actuarially Determined Contribution (ADC)</w:t>
            </w:r>
          </w:p>
        </w:tc>
        <w:tc>
          <w:tcPr>
            <w:tcW w:w="3060" w:type="dxa"/>
            <w:vAlign w:val="center"/>
          </w:tcPr>
          <w:p w14:paraId="3A87D2EB" w14:textId="77777777" w:rsidR="005E4DB5" w:rsidRPr="00D5611E" w:rsidRDefault="005E4DB5" w:rsidP="002C2257">
            <w:pPr>
              <w:contextualSpacing/>
              <w:jc w:val="center"/>
              <w:rPr>
                <w:rFonts w:ascii="Times New Roman" w:hAnsi="Times New Roman" w:cs="Times New Roman"/>
                <w:sz w:val="20"/>
                <w:szCs w:val="24"/>
              </w:rPr>
            </w:pPr>
            <w:r>
              <w:rPr>
                <w:rFonts w:ascii="Times New Roman" w:hAnsi="Times New Roman" w:cs="Times New Roman"/>
                <w:sz w:val="20"/>
                <w:szCs w:val="24"/>
              </w:rPr>
              <w:t>18.5</w:t>
            </w:r>
          </w:p>
        </w:tc>
        <w:tc>
          <w:tcPr>
            <w:tcW w:w="2340" w:type="dxa"/>
            <w:vAlign w:val="center"/>
          </w:tcPr>
          <w:p w14:paraId="07B347E2" w14:textId="77777777" w:rsidR="005E4DB5" w:rsidRPr="00D5611E" w:rsidRDefault="005E4DB5" w:rsidP="002C2257">
            <w:pPr>
              <w:contextualSpacing/>
              <w:jc w:val="center"/>
              <w:rPr>
                <w:rFonts w:ascii="Times New Roman" w:hAnsi="Times New Roman" w:cs="Times New Roman"/>
                <w:sz w:val="20"/>
                <w:szCs w:val="24"/>
              </w:rPr>
            </w:pPr>
            <w:r>
              <w:rPr>
                <w:rFonts w:ascii="Times New Roman" w:hAnsi="Times New Roman" w:cs="Times New Roman"/>
                <w:sz w:val="20"/>
                <w:szCs w:val="24"/>
              </w:rPr>
              <w:t>18.1</w:t>
            </w:r>
          </w:p>
        </w:tc>
        <w:tc>
          <w:tcPr>
            <w:tcW w:w="2178" w:type="dxa"/>
            <w:vAlign w:val="center"/>
          </w:tcPr>
          <w:p w14:paraId="03D959A9" w14:textId="77777777" w:rsidR="005E4DB5" w:rsidRPr="00D5611E" w:rsidRDefault="005E4DB5" w:rsidP="002C2257">
            <w:pPr>
              <w:contextualSpacing/>
              <w:jc w:val="center"/>
              <w:rPr>
                <w:rFonts w:ascii="Times New Roman" w:hAnsi="Times New Roman" w:cs="Times New Roman"/>
                <w:sz w:val="20"/>
                <w:szCs w:val="24"/>
              </w:rPr>
            </w:pPr>
            <w:r>
              <w:rPr>
                <w:rFonts w:ascii="Times New Roman" w:hAnsi="Times New Roman" w:cs="Times New Roman"/>
                <w:sz w:val="20"/>
                <w:szCs w:val="24"/>
              </w:rPr>
              <w:t>22.2</w:t>
            </w:r>
          </w:p>
        </w:tc>
      </w:tr>
      <w:tr w:rsidR="005E4DB5" w:rsidRPr="001849D9" w14:paraId="5E495682" w14:textId="77777777" w:rsidTr="002C2257">
        <w:tc>
          <w:tcPr>
            <w:tcW w:w="1998" w:type="dxa"/>
          </w:tcPr>
          <w:p w14:paraId="7E895F56" w14:textId="77777777" w:rsidR="005E4DB5" w:rsidRPr="00D5611E" w:rsidRDefault="005E4DB5" w:rsidP="002C2257">
            <w:pPr>
              <w:contextualSpacing/>
              <w:rPr>
                <w:rFonts w:ascii="Times New Roman" w:hAnsi="Times New Roman" w:cs="Times New Roman"/>
                <w:sz w:val="20"/>
                <w:szCs w:val="24"/>
              </w:rPr>
            </w:pPr>
            <w:r>
              <w:rPr>
                <w:rFonts w:ascii="Times New Roman" w:hAnsi="Times New Roman" w:cs="Times New Roman"/>
                <w:sz w:val="20"/>
                <w:szCs w:val="24"/>
              </w:rPr>
              <w:t>Actuarially Accrued Liability (AAL)</w:t>
            </w:r>
          </w:p>
        </w:tc>
        <w:tc>
          <w:tcPr>
            <w:tcW w:w="3060" w:type="dxa"/>
            <w:vAlign w:val="center"/>
          </w:tcPr>
          <w:p w14:paraId="771B7294" w14:textId="77777777" w:rsidR="005E4DB5" w:rsidRPr="00D5611E" w:rsidRDefault="005E4DB5" w:rsidP="002C2257">
            <w:pPr>
              <w:contextualSpacing/>
              <w:jc w:val="center"/>
              <w:rPr>
                <w:rFonts w:ascii="Times New Roman" w:hAnsi="Times New Roman" w:cs="Times New Roman"/>
                <w:sz w:val="20"/>
                <w:szCs w:val="24"/>
              </w:rPr>
            </w:pPr>
            <w:r>
              <w:rPr>
                <w:rFonts w:ascii="Times New Roman" w:hAnsi="Times New Roman" w:cs="Times New Roman"/>
                <w:sz w:val="20"/>
                <w:szCs w:val="24"/>
              </w:rPr>
              <w:t>6.4</w:t>
            </w:r>
          </w:p>
        </w:tc>
        <w:tc>
          <w:tcPr>
            <w:tcW w:w="2340" w:type="dxa"/>
            <w:vAlign w:val="center"/>
          </w:tcPr>
          <w:p w14:paraId="7307A035" w14:textId="77777777" w:rsidR="005E4DB5" w:rsidRPr="00D5611E" w:rsidRDefault="005E4DB5" w:rsidP="002C2257">
            <w:pPr>
              <w:contextualSpacing/>
              <w:jc w:val="center"/>
              <w:rPr>
                <w:rFonts w:ascii="Times New Roman" w:hAnsi="Times New Roman" w:cs="Times New Roman"/>
                <w:sz w:val="20"/>
                <w:szCs w:val="24"/>
              </w:rPr>
            </w:pPr>
            <w:r>
              <w:rPr>
                <w:rFonts w:ascii="Times New Roman" w:hAnsi="Times New Roman" w:cs="Times New Roman"/>
                <w:sz w:val="20"/>
                <w:szCs w:val="24"/>
              </w:rPr>
              <w:t>5.0</w:t>
            </w:r>
          </w:p>
        </w:tc>
        <w:tc>
          <w:tcPr>
            <w:tcW w:w="2178" w:type="dxa"/>
            <w:vAlign w:val="center"/>
          </w:tcPr>
          <w:p w14:paraId="069A089E" w14:textId="77777777" w:rsidR="005E4DB5" w:rsidRPr="00D5611E" w:rsidRDefault="005E4DB5" w:rsidP="002C2257">
            <w:pPr>
              <w:contextualSpacing/>
              <w:jc w:val="center"/>
              <w:rPr>
                <w:rFonts w:ascii="Times New Roman" w:hAnsi="Times New Roman" w:cs="Times New Roman"/>
                <w:sz w:val="20"/>
                <w:szCs w:val="24"/>
              </w:rPr>
            </w:pPr>
            <w:r>
              <w:rPr>
                <w:rFonts w:ascii="Times New Roman" w:hAnsi="Times New Roman" w:cs="Times New Roman"/>
                <w:sz w:val="20"/>
                <w:szCs w:val="24"/>
              </w:rPr>
              <w:t>6.7</w:t>
            </w:r>
          </w:p>
        </w:tc>
      </w:tr>
      <w:tr w:rsidR="005E4DB5" w:rsidRPr="00F64422" w14:paraId="1D5B6CDA" w14:textId="77777777" w:rsidTr="002C2257">
        <w:tc>
          <w:tcPr>
            <w:tcW w:w="9576" w:type="dxa"/>
            <w:gridSpan w:val="4"/>
          </w:tcPr>
          <w:p w14:paraId="3E88B383" w14:textId="77777777" w:rsidR="005E4DB5" w:rsidRPr="00F64422" w:rsidRDefault="005E4DB5" w:rsidP="002C2257">
            <w:pPr>
              <w:contextualSpacing/>
              <w:rPr>
                <w:rFonts w:ascii="Times New Roman" w:hAnsi="Times New Roman" w:cs="Times New Roman"/>
                <w:sz w:val="20"/>
                <w:szCs w:val="24"/>
              </w:rPr>
            </w:pPr>
            <w:r>
              <w:rPr>
                <w:rFonts w:ascii="Times New Roman" w:hAnsi="Times New Roman" w:cs="Times New Roman"/>
                <w:sz w:val="20"/>
                <w:szCs w:val="24"/>
              </w:rPr>
              <w:t>Note: All numbers reported</w:t>
            </w:r>
            <w:r w:rsidRPr="00F64422">
              <w:rPr>
                <w:rFonts w:ascii="Times New Roman" w:hAnsi="Times New Roman" w:cs="Times New Roman"/>
                <w:sz w:val="20"/>
                <w:szCs w:val="24"/>
              </w:rPr>
              <w:t xml:space="preserve"> as percent of payroll</w:t>
            </w:r>
            <w:r>
              <w:rPr>
                <w:rFonts w:ascii="Times New Roman" w:hAnsi="Times New Roman" w:cs="Times New Roman"/>
                <w:sz w:val="20"/>
                <w:szCs w:val="24"/>
              </w:rPr>
              <w:t xml:space="preserve">. The simulated results are based on the typical actuarial inputs (median values) from the PPD: benefit multiplier = 2%, discount rate = 8%, salary growth rate = 5.68%, amortization period = 29 years, the mortality table is the RP-2000 with 10 year projection, and the cost method is EAN. The simulation also assumes a uniform age distribution in the active workers and retirees. </w:t>
            </w:r>
          </w:p>
        </w:tc>
      </w:tr>
    </w:tbl>
    <w:p w14:paraId="26DAEB86" w14:textId="77777777" w:rsidR="005E4DB5" w:rsidRDefault="005E4DB5">
      <w:pPr>
        <w:rPr>
          <w:rFonts w:ascii="Times New Roman" w:hAnsi="Times New Roman" w:cs="Times New Roman"/>
          <w:szCs w:val="24"/>
        </w:rPr>
      </w:pPr>
      <w:r>
        <w:rPr>
          <w:rFonts w:ascii="Times New Roman" w:hAnsi="Times New Roman" w:cs="Times New Roman"/>
          <w:szCs w:val="24"/>
        </w:rPr>
        <w:br w:type="page"/>
      </w:r>
    </w:p>
    <w:p w14:paraId="3BB5CF9B" w14:textId="4F41B573" w:rsidR="00825666" w:rsidRPr="00F60E7C" w:rsidRDefault="00825666" w:rsidP="00F60E7C">
      <w:pPr>
        <w:spacing w:line="240" w:lineRule="auto"/>
        <w:contextualSpacing/>
        <w:jc w:val="center"/>
        <w:rPr>
          <w:rFonts w:ascii="Times New Roman" w:hAnsi="Times New Roman" w:cs="Times New Roman"/>
          <w:szCs w:val="24"/>
        </w:rPr>
      </w:pPr>
      <w:r w:rsidRPr="00F60E7C">
        <w:rPr>
          <w:rFonts w:ascii="Times New Roman" w:hAnsi="Times New Roman" w:cs="Times New Roman"/>
          <w:szCs w:val="24"/>
        </w:rPr>
        <w:lastRenderedPageBreak/>
        <w:t xml:space="preserve">Table 4: Effect of </w:t>
      </w:r>
      <w:r w:rsidR="00F60E7C" w:rsidRPr="00F60E7C">
        <w:rPr>
          <w:rFonts w:ascii="Times New Roman" w:hAnsi="Times New Roman" w:cs="Times New Roman"/>
          <w:szCs w:val="24"/>
        </w:rPr>
        <w:t>actuarial input changes on funding ratios</w:t>
      </w:r>
    </w:p>
    <w:p w14:paraId="48EA541C" w14:textId="77777777" w:rsidR="00825666" w:rsidRDefault="00825666" w:rsidP="00F60E7C">
      <w:pPr>
        <w:spacing w:line="240" w:lineRule="auto"/>
        <w:contextualSpacing/>
        <w:jc w:val="center"/>
      </w:pPr>
    </w:p>
    <w:tbl>
      <w:tblPr>
        <w:tblStyle w:val="TableGrid"/>
        <w:tblW w:w="0" w:type="auto"/>
        <w:tblLook w:val="04A0" w:firstRow="1" w:lastRow="0" w:firstColumn="1" w:lastColumn="0" w:noHBand="0" w:noVBand="1"/>
      </w:tblPr>
      <w:tblGrid>
        <w:gridCol w:w="2628"/>
        <w:gridCol w:w="1389"/>
        <w:gridCol w:w="1390"/>
        <w:gridCol w:w="1389"/>
        <w:gridCol w:w="1390"/>
        <w:gridCol w:w="1390"/>
      </w:tblGrid>
      <w:tr w:rsidR="00825666" w:rsidRPr="00371B12" w14:paraId="132788DB" w14:textId="77777777" w:rsidTr="00033521">
        <w:tc>
          <w:tcPr>
            <w:tcW w:w="2628" w:type="dxa"/>
            <w:vMerge w:val="restart"/>
            <w:vAlign w:val="center"/>
          </w:tcPr>
          <w:p w14:paraId="60A9981A" w14:textId="77777777" w:rsidR="00825666" w:rsidRPr="00371B12" w:rsidRDefault="00825666" w:rsidP="00F60E7C">
            <w:pPr>
              <w:contextualSpacing/>
              <w:jc w:val="center"/>
              <w:rPr>
                <w:b/>
                <w:sz w:val="20"/>
                <w:szCs w:val="20"/>
              </w:rPr>
            </w:pPr>
            <w:r w:rsidRPr="00371B12">
              <w:rPr>
                <w:b/>
                <w:sz w:val="20"/>
                <w:szCs w:val="20"/>
              </w:rPr>
              <w:t>Actuarial Input</w:t>
            </w:r>
          </w:p>
        </w:tc>
        <w:tc>
          <w:tcPr>
            <w:tcW w:w="4168" w:type="dxa"/>
            <w:gridSpan w:val="3"/>
            <w:vAlign w:val="center"/>
          </w:tcPr>
          <w:p w14:paraId="653D06CB" w14:textId="77777777" w:rsidR="00825666" w:rsidRDefault="00825666" w:rsidP="00F60E7C">
            <w:pPr>
              <w:contextualSpacing/>
              <w:jc w:val="center"/>
              <w:rPr>
                <w:b/>
                <w:sz w:val="20"/>
                <w:szCs w:val="20"/>
              </w:rPr>
            </w:pPr>
            <w:r>
              <w:rPr>
                <w:b/>
                <w:sz w:val="20"/>
                <w:szCs w:val="20"/>
              </w:rPr>
              <w:t xml:space="preserve">Assets in median condition are set to </w:t>
            </w:r>
          </w:p>
          <w:p w14:paraId="713A826B" w14:textId="77777777" w:rsidR="00825666" w:rsidRPr="00371B12" w:rsidRDefault="00825666" w:rsidP="00F60E7C">
            <w:pPr>
              <w:contextualSpacing/>
              <w:jc w:val="center"/>
              <w:rPr>
                <w:b/>
                <w:sz w:val="20"/>
                <w:szCs w:val="20"/>
              </w:rPr>
            </w:pPr>
            <w:r>
              <w:rPr>
                <w:b/>
                <w:sz w:val="20"/>
                <w:szCs w:val="20"/>
              </w:rPr>
              <w:t>an 85.4% funding ratio</w:t>
            </w:r>
          </w:p>
        </w:tc>
        <w:tc>
          <w:tcPr>
            <w:tcW w:w="1390" w:type="dxa"/>
            <w:vMerge w:val="restart"/>
            <w:vAlign w:val="center"/>
          </w:tcPr>
          <w:p w14:paraId="6CAA398E" w14:textId="13AB8E30" w:rsidR="00825666" w:rsidRPr="00371B12" w:rsidRDefault="00825666" w:rsidP="00F60E7C">
            <w:pPr>
              <w:contextualSpacing/>
              <w:jc w:val="center"/>
              <w:rPr>
                <w:b/>
                <w:sz w:val="20"/>
                <w:szCs w:val="20"/>
              </w:rPr>
            </w:pPr>
            <w:r>
              <w:rPr>
                <w:b/>
                <w:sz w:val="20"/>
                <w:szCs w:val="20"/>
              </w:rPr>
              <w:t xml:space="preserve">Assets in median condition set to a </w:t>
            </w:r>
            <w:r w:rsidRPr="00371B12">
              <w:rPr>
                <w:b/>
                <w:sz w:val="20"/>
                <w:szCs w:val="20"/>
              </w:rPr>
              <w:t>70</w:t>
            </w:r>
            <w:r w:rsidR="0084413D">
              <w:rPr>
                <w:b/>
                <w:sz w:val="20"/>
                <w:szCs w:val="20"/>
              </w:rPr>
              <w:t>%</w:t>
            </w:r>
            <w:r w:rsidRPr="00371B12">
              <w:rPr>
                <w:b/>
                <w:sz w:val="20"/>
                <w:szCs w:val="20"/>
              </w:rPr>
              <w:t xml:space="preserve"> </w:t>
            </w:r>
          </w:p>
          <w:p w14:paraId="596EF1FF" w14:textId="77777777" w:rsidR="00825666" w:rsidRPr="00371B12" w:rsidRDefault="00825666" w:rsidP="00F60E7C">
            <w:pPr>
              <w:contextualSpacing/>
              <w:jc w:val="center"/>
              <w:rPr>
                <w:b/>
                <w:sz w:val="20"/>
                <w:szCs w:val="20"/>
              </w:rPr>
            </w:pPr>
            <w:r w:rsidRPr="00371B12">
              <w:rPr>
                <w:b/>
                <w:sz w:val="20"/>
                <w:szCs w:val="20"/>
              </w:rPr>
              <w:t xml:space="preserve">funding ratio </w:t>
            </w:r>
          </w:p>
          <w:p w14:paraId="1046B5C1" w14:textId="77777777" w:rsidR="00825666" w:rsidRPr="00371B12" w:rsidRDefault="00825666" w:rsidP="00F60E7C">
            <w:pPr>
              <w:contextualSpacing/>
              <w:jc w:val="center"/>
              <w:rPr>
                <w:b/>
                <w:sz w:val="20"/>
                <w:szCs w:val="20"/>
              </w:rPr>
            </w:pPr>
            <w:r w:rsidRPr="00371B12">
              <w:rPr>
                <w:b/>
                <w:sz w:val="20"/>
                <w:szCs w:val="20"/>
              </w:rPr>
              <w:t>(4)</w:t>
            </w:r>
          </w:p>
        </w:tc>
        <w:tc>
          <w:tcPr>
            <w:tcW w:w="1390" w:type="dxa"/>
            <w:vMerge w:val="restart"/>
            <w:vAlign w:val="center"/>
          </w:tcPr>
          <w:p w14:paraId="03B77918" w14:textId="377A72E6" w:rsidR="00825666" w:rsidRPr="00371B12" w:rsidRDefault="00825666" w:rsidP="00F60E7C">
            <w:pPr>
              <w:contextualSpacing/>
              <w:jc w:val="center"/>
              <w:rPr>
                <w:b/>
                <w:sz w:val="20"/>
                <w:szCs w:val="20"/>
              </w:rPr>
            </w:pPr>
            <w:r>
              <w:rPr>
                <w:b/>
                <w:sz w:val="20"/>
                <w:szCs w:val="20"/>
              </w:rPr>
              <w:t xml:space="preserve">Assets in median condition set to a </w:t>
            </w:r>
            <w:r w:rsidRPr="00371B12">
              <w:rPr>
                <w:b/>
                <w:sz w:val="20"/>
                <w:szCs w:val="20"/>
              </w:rPr>
              <w:t>100</w:t>
            </w:r>
            <w:r w:rsidR="0084413D">
              <w:rPr>
                <w:b/>
                <w:sz w:val="20"/>
                <w:szCs w:val="20"/>
              </w:rPr>
              <w:t>%</w:t>
            </w:r>
          </w:p>
          <w:p w14:paraId="30AD483D" w14:textId="77777777" w:rsidR="00825666" w:rsidRPr="00371B12" w:rsidRDefault="00825666" w:rsidP="00F60E7C">
            <w:pPr>
              <w:contextualSpacing/>
              <w:jc w:val="center"/>
              <w:rPr>
                <w:b/>
                <w:sz w:val="20"/>
                <w:szCs w:val="20"/>
              </w:rPr>
            </w:pPr>
            <w:r w:rsidRPr="00371B12">
              <w:rPr>
                <w:b/>
                <w:sz w:val="20"/>
                <w:szCs w:val="20"/>
              </w:rPr>
              <w:t>funding ratio</w:t>
            </w:r>
          </w:p>
          <w:p w14:paraId="02B920AF" w14:textId="77777777" w:rsidR="00825666" w:rsidRPr="00371B12" w:rsidRDefault="00825666" w:rsidP="00F60E7C">
            <w:pPr>
              <w:contextualSpacing/>
              <w:jc w:val="center"/>
              <w:rPr>
                <w:b/>
                <w:sz w:val="20"/>
                <w:szCs w:val="20"/>
              </w:rPr>
            </w:pPr>
            <w:r w:rsidRPr="00371B12">
              <w:rPr>
                <w:b/>
                <w:sz w:val="20"/>
                <w:szCs w:val="20"/>
              </w:rPr>
              <w:t>(5)</w:t>
            </w:r>
          </w:p>
        </w:tc>
      </w:tr>
      <w:tr w:rsidR="00825666" w:rsidRPr="00371B12" w14:paraId="7DB24DB4" w14:textId="77777777" w:rsidTr="00033521">
        <w:tc>
          <w:tcPr>
            <w:tcW w:w="2628" w:type="dxa"/>
            <w:vMerge/>
            <w:vAlign w:val="center"/>
          </w:tcPr>
          <w:p w14:paraId="6EBA04A3" w14:textId="77777777" w:rsidR="00825666" w:rsidRPr="00371B12" w:rsidRDefault="00825666" w:rsidP="00F60E7C">
            <w:pPr>
              <w:contextualSpacing/>
              <w:jc w:val="center"/>
              <w:rPr>
                <w:b/>
                <w:sz w:val="20"/>
                <w:szCs w:val="20"/>
              </w:rPr>
            </w:pPr>
          </w:p>
        </w:tc>
        <w:tc>
          <w:tcPr>
            <w:tcW w:w="1389" w:type="dxa"/>
            <w:vAlign w:val="center"/>
          </w:tcPr>
          <w:p w14:paraId="7150D234" w14:textId="77777777" w:rsidR="00825666" w:rsidRDefault="00825666" w:rsidP="00F60E7C">
            <w:pPr>
              <w:contextualSpacing/>
              <w:jc w:val="center"/>
              <w:rPr>
                <w:b/>
                <w:sz w:val="20"/>
                <w:szCs w:val="20"/>
              </w:rPr>
            </w:pPr>
            <w:r>
              <w:rPr>
                <w:b/>
                <w:sz w:val="20"/>
                <w:szCs w:val="20"/>
              </w:rPr>
              <w:t>Active participant ages are uniformly distributed</w:t>
            </w:r>
          </w:p>
          <w:p w14:paraId="449D11CC" w14:textId="77777777" w:rsidR="00825666" w:rsidRPr="00371B12" w:rsidRDefault="00825666" w:rsidP="00F60E7C">
            <w:pPr>
              <w:contextualSpacing/>
              <w:jc w:val="center"/>
              <w:rPr>
                <w:b/>
                <w:sz w:val="20"/>
                <w:szCs w:val="20"/>
              </w:rPr>
            </w:pPr>
            <w:r w:rsidRPr="00371B12">
              <w:rPr>
                <w:b/>
                <w:sz w:val="20"/>
                <w:szCs w:val="20"/>
              </w:rPr>
              <w:t>(1)</w:t>
            </w:r>
          </w:p>
        </w:tc>
        <w:tc>
          <w:tcPr>
            <w:tcW w:w="1390" w:type="dxa"/>
            <w:vAlign w:val="center"/>
          </w:tcPr>
          <w:p w14:paraId="58C09128" w14:textId="77777777" w:rsidR="00825666" w:rsidRPr="00371B12" w:rsidRDefault="00825666" w:rsidP="00F60E7C">
            <w:pPr>
              <w:contextualSpacing/>
              <w:jc w:val="center"/>
              <w:rPr>
                <w:b/>
                <w:sz w:val="20"/>
                <w:szCs w:val="20"/>
              </w:rPr>
            </w:pPr>
            <w:r>
              <w:rPr>
                <w:b/>
                <w:sz w:val="20"/>
                <w:szCs w:val="20"/>
              </w:rPr>
              <w:t>Active p</w:t>
            </w:r>
            <w:r w:rsidRPr="00371B12">
              <w:rPr>
                <w:b/>
                <w:sz w:val="20"/>
                <w:szCs w:val="20"/>
              </w:rPr>
              <w:t>articipant</w:t>
            </w:r>
            <w:r>
              <w:rPr>
                <w:b/>
                <w:sz w:val="20"/>
                <w:szCs w:val="20"/>
              </w:rPr>
              <w:t xml:space="preserve"> ages are skewed younger</w:t>
            </w:r>
          </w:p>
          <w:p w14:paraId="6E8D8166" w14:textId="77777777" w:rsidR="00825666" w:rsidRPr="00371B12" w:rsidRDefault="00825666" w:rsidP="00F60E7C">
            <w:pPr>
              <w:contextualSpacing/>
              <w:jc w:val="center"/>
              <w:rPr>
                <w:b/>
                <w:sz w:val="20"/>
                <w:szCs w:val="20"/>
              </w:rPr>
            </w:pPr>
            <w:r w:rsidRPr="00371B12">
              <w:rPr>
                <w:b/>
                <w:sz w:val="20"/>
                <w:szCs w:val="20"/>
              </w:rPr>
              <w:t>(2)</w:t>
            </w:r>
          </w:p>
        </w:tc>
        <w:tc>
          <w:tcPr>
            <w:tcW w:w="1389" w:type="dxa"/>
            <w:vAlign w:val="center"/>
          </w:tcPr>
          <w:p w14:paraId="45AA060A" w14:textId="77777777" w:rsidR="00825666" w:rsidRDefault="00825666" w:rsidP="00F60E7C">
            <w:pPr>
              <w:contextualSpacing/>
              <w:jc w:val="center"/>
              <w:rPr>
                <w:b/>
                <w:sz w:val="20"/>
                <w:szCs w:val="20"/>
              </w:rPr>
            </w:pPr>
          </w:p>
          <w:p w14:paraId="26B67B56" w14:textId="77777777" w:rsidR="00825666" w:rsidRDefault="00825666" w:rsidP="00F60E7C">
            <w:pPr>
              <w:contextualSpacing/>
              <w:jc w:val="center"/>
              <w:rPr>
                <w:b/>
                <w:sz w:val="20"/>
                <w:szCs w:val="20"/>
              </w:rPr>
            </w:pPr>
            <w:r>
              <w:rPr>
                <w:b/>
                <w:sz w:val="20"/>
                <w:szCs w:val="20"/>
              </w:rPr>
              <w:t>Active participant ages are skewed older</w:t>
            </w:r>
          </w:p>
          <w:p w14:paraId="41A65394" w14:textId="77777777" w:rsidR="00825666" w:rsidRPr="00371B12" w:rsidRDefault="00825666" w:rsidP="00F60E7C">
            <w:pPr>
              <w:contextualSpacing/>
              <w:jc w:val="center"/>
              <w:rPr>
                <w:b/>
                <w:sz w:val="20"/>
                <w:szCs w:val="20"/>
              </w:rPr>
            </w:pPr>
            <w:r w:rsidRPr="00371B12">
              <w:rPr>
                <w:b/>
                <w:sz w:val="20"/>
                <w:szCs w:val="20"/>
              </w:rPr>
              <w:t>(3)</w:t>
            </w:r>
          </w:p>
        </w:tc>
        <w:tc>
          <w:tcPr>
            <w:tcW w:w="1390" w:type="dxa"/>
            <w:vMerge/>
            <w:vAlign w:val="center"/>
          </w:tcPr>
          <w:p w14:paraId="24E13D98" w14:textId="77777777" w:rsidR="00825666" w:rsidRPr="00371B12" w:rsidRDefault="00825666" w:rsidP="00F60E7C">
            <w:pPr>
              <w:contextualSpacing/>
              <w:jc w:val="center"/>
              <w:rPr>
                <w:b/>
                <w:sz w:val="20"/>
                <w:szCs w:val="20"/>
              </w:rPr>
            </w:pPr>
          </w:p>
        </w:tc>
        <w:tc>
          <w:tcPr>
            <w:tcW w:w="1390" w:type="dxa"/>
            <w:vMerge/>
            <w:vAlign w:val="center"/>
          </w:tcPr>
          <w:p w14:paraId="7004A81D" w14:textId="77777777" w:rsidR="00825666" w:rsidRPr="00371B12" w:rsidRDefault="00825666" w:rsidP="00F60E7C">
            <w:pPr>
              <w:contextualSpacing/>
              <w:jc w:val="center"/>
              <w:rPr>
                <w:b/>
                <w:sz w:val="20"/>
                <w:szCs w:val="20"/>
              </w:rPr>
            </w:pPr>
          </w:p>
        </w:tc>
      </w:tr>
      <w:tr w:rsidR="00825666" w:rsidRPr="00F11CDC" w14:paraId="66957D8C" w14:textId="77777777" w:rsidTr="00033521">
        <w:tc>
          <w:tcPr>
            <w:tcW w:w="9576" w:type="dxa"/>
            <w:gridSpan w:val="6"/>
          </w:tcPr>
          <w:p w14:paraId="3C5BE542" w14:textId="77777777" w:rsidR="00825666" w:rsidRPr="00F11CDC" w:rsidRDefault="00825666" w:rsidP="00F60E7C">
            <w:pPr>
              <w:contextualSpacing/>
              <w:rPr>
                <w:b/>
                <w:sz w:val="20"/>
                <w:szCs w:val="20"/>
              </w:rPr>
            </w:pPr>
          </w:p>
          <w:p w14:paraId="2C76D9FD" w14:textId="77777777" w:rsidR="00825666" w:rsidRPr="00F11CDC" w:rsidRDefault="00825666" w:rsidP="00F60E7C">
            <w:pPr>
              <w:contextualSpacing/>
              <w:rPr>
                <w:b/>
                <w:sz w:val="20"/>
                <w:szCs w:val="20"/>
              </w:rPr>
            </w:pPr>
            <w:r w:rsidRPr="00F11CDC">
              <w:rPr>
                <w:b/>
                <w:sz w:val="20"/>
                <w:szCs w:val="20"/>
              </w:rPr>
              <w:t>Panel A: Discount Rates (median observed value is 8</w:t>
            </w:r>
            <w:r>
              <w:rPr>
                <w:b/>
                <w:sz w:val="20"/>
                <w:szCs w:val="20"/>
              </w:rPr>
              <w:t>%</w:t>
            </w:r>
            <w:r w:rsidRPr="00F11CDC">
              <w:rPr>
                <w:b/>
                <w:sz w:val="20"/>
                <w:szCs w:val="20"/>
              </w:rPr>
              <w:t>)</w:t>
            </w:r>
          </w:p>
        </w:tc>
      </w:tr>
      <w:tr w:rsidR="00825666" w:rsidRPr="00F11CDC" w14:paraId="1F1EC212" w14:textId="77777777" w:rsidTr="00033521">
        <w:tc>
          <w:tcPr>
            <w:tcW w:w="2628" w:type="dxa"/>
            <w:vAlign w:val="bottom"/>
          </w:tcPr>
          <w:p w14:paraId="0FFE5E5F" w14:textId="77777777" w:rsidR="00825666" w:rsidRPr="00F11CDC" w:rsidRDefault="00825666" w:rsidP="00F60E7C">
            <w:pPr>
              <w:contextualSpacing/>
              <w:jc w:val="center"/>
              <w:rPr>
                <w:rFonts w:ascii="Calibri" w:eastAsia="Times New Roman" w:hAnsi="Calibri" w:cs="Calibri"/>
                <w:color w:val="000000"/>
                <w:sz w:val="20"/>
                <w:szCs w:val="20"/>
              </w:rPr>
            </w:pPr>
            <w:r w:rsidRPr="00F11CDC">
              <w:rPr>
                <w:rFonts w:ascii="Calibri" w:eastAsia="Times New Roman" w:hAnsi="Calibri" w:cs="Calibri"/>
                <w:color w:val="000000"/>
                <w:sz w:val="20"/>
                <w:szCs w:val="20"/>
              </w:rPr>
              <w:t>8.75</w:t>
            </w:r>
          </w:p>
        </w:tc>
        <w:tc>
          <w:tcPr>
            <w:tcW w:w="1389" w:type="dxa"/>
            <w:vAlign w:val="bottom"/>
          </w:tcPr>
          <w:p w14:paraId="2C771551" w14:textId="77777777" w:rsidR="00825666" w:rsidRPr="00F11CDC" w:rsidRDefault="00825666" w:rsidP="00F60E7C">
            <w:pPr>
              <w:contextualSpacing/>
              <w:jc w:val="center"/>
              <w:rPr>
                <w:rFonts w:ascii="Calibri" w:eastAsia="Times New Roman" w:hAnsi="Calibri" w:cs="Calibri"/>
                <w:color w:val="000000"/>
                <w:sz w:val="20"/>
                <w:szCs w:val="20"/>
              </w:rPr>
            </w:pPr>
            <w:r w:rsidRPr="00F11CDC">
              <w:rPr>
                <w:rFonts w:ascii="Calibri" w:eastAsia="Times New Roman" w:hAnsi="Calibri" w:cs="Calibri"/>
                <w:color w:val="000000"/>
                <w:sz w:val="20"/>
                <w:szCs w:val="20"/>
              </w:rPr>
              <w:t>92.77</w:t>
            </w:r>
          </w:p>
        </w:tc>
        <w:tc>
          <w:tcPr>
            <w:tcW w:w="1390" w:type="dxa"/>
            <w:vAlign w:val="bottom"/>
          </w:tcPr>
          <w:p w14:paraId="6F797DBE" w14:textId="77777777" w:rsidR="00825666" w:rsidRPr="00F11CDC" w:rsidRDefault="00825666" w:rsidP="00F60E7C">
            <w:pPr>
              <w:contextualSpacing/>
              <w:jc w:val="center"/>
              <w:rPr>
                <w:rFonts w:ascii="Calibri" w:eastAsia="Times New Roman" w:hAnsi="Calibri" w:cs="Calibri"/>
                <w:color w:val="000000"/>
                <w:sz w:val="20"/>
                <w:szCs w:val="20"/>
              </w:rPr>
            </w:pPr>
            <w:r w:rsidRPr="00F11CDC">
              <w:rPr>
                <w:rFonts w:ascii="Calibri" w:hAnsi="Calibri" w:cs="Calibri"/>
                <w:color w:val="000000"/>
                <w:sz w:val="20"/>
                <w:szCs w:val="20"/>
              </w:rPr>
              <w:t>93.35</w:t>
            </w:r>
          </w:p>
        </w:tc>
        <w:tc>
          <w:tcPr>
            <w:tcW w:w="1389" w:type="dxa"/>
            <w:vAlign w:val="bottom"/>
          </w:tcPr>
          <w:p w14:paraId="22D9E081" w14:textId="77777777" w:rsidR="00825666" w:rsidRPr="00F11CDC" w:rsidRDefault="00825666" w:rsidP="00F60E7C">
            <w:pPr>
              <w:contextualSpacing/>
              <w:jc w:val="center"/>
              <w:rPr>
                <w:rFonts w:ascii="Calibri" w:eastAsia="Times New Roman" w:hAnsi="Calibri" w:cs="Calibri"/>
                <w:color w:val="000000"/>
                <w:sz w:val="20"/>
                <w:szCs w:val="20"/>
              </w:rPr>
            </w:pPr>
            <w:r w:rsidRPr="00F11CDC">
              <w:rPr>
                <w:rFonts w:ascii="Calibri" w:hAnsi="Calibri" w:cs="Calibri"/>
                <w:color w:val="000000"/>
                <w:sz w:val="20"/>
                <w:szCs w:val="20"/>
              </w:rPr>
              <w:t>92.42</w:t>
            </w:r>
          </w:p>
        </w:tc>
        <w:tc>
          <w:tcPr>
            <w:tcW w:w="1390" w:type="dxa"/>
            <w:vAlign w:val="bottom"/>
          </w:tcPr>
          <w:p w14:paraId="1B867FB8" w14:textId="77777777" w:rsidR="00825666" w:rsidRPr="00F11CDC" w:rsidRDefault="00825666" w:rsidP="00F60E7C">
            <w:pPr>
              <w:contextualSpacing/>
              <w:jc w:val="center"/>
              <w:rPr>
                <w:rFonts w:ascii="Calibri" w:eastAsia="Times New Roman" w:hAnsi="Calibri" w:cs="Calibri"/>
                <w:color w:val="000000"/>
                <w:sz w:val="20"/>
                <w:szCs w:val="20"/>
              </w:rPr>
            </w:pPr>
            <w:r w:rsidRPr="00F11CDC">
              <w:rPr>
                <w:rFonts w:ascii="Calibri" w:eastAsia="Times New Roman" w:hAnsi="Calibri" w:cs="Calibri"/>
                <w:color w:val="000000"/>
                <w:sz w:val="20"/>
                <w:szCs w:val="20"/>
              </w:rPr>
              <w:t>76.04</w:t>
            </w:r>
          </w:p>
        </w:tc>
        <w:tc>
          <w:tcPr>
            <w:tcW w:w="1390" w:type="dxa"/>
            <w:vAlign w:val="bottom"/>
          </w:tcPr>
          <w:p w14:paraId="11DE7AEE" w14:textId="77777777" w:rsidR="00825666" w:rsidRPr="00F11CDC" w:rsidRDefault="00825666" w:rsidP="00F60E7C">
            <w:pPr>
              <w:contextualSpacing/>
              <w:jc w:val="center"/>
              <w:rPr>
                <w:rFonts w:ascii="Calibri" w:eastAsia="Times New Roman" w:hAnsi="Calibri" w:cs="Calibri"/>
                <w:color w:val="000000"/>
                <w:sz w:val="20"/>
                <w:szCs w:val="20"/>
              </w:rPr>
            </w:pPr>
            <w:r w:rsidRPr="00F11CDC">
              <w:rPr>
                <w:rFonts w:ascii="Calibri" w:eastAsia="Times New Roman" w:hAnsi="Calibri" w:cs="Calibri"/>
                <w:color w:val="000000"/>
                <w:sz w:val="20"/>
                <w:szCs w:val="20"/>
              </w:rPr>
              <w:t>108.63</w:t>
            </w:r>
          </w:p>
        </w:tc>
      </w:tr>
      <w:tr w:rsidR="00825666" w:rsidRPr="00F11CDC" w14:paraId="4331FADA" w14:textId="77777777" w:rsidTr="00033521">
        <w:tc>
          <w:tcPr>
            <w:tcW w:w="2628" w:type="dxa"/>
            <w:vAlign w:val="bottom"/>
          </w:tcPr>
          <w:p w14:paraId="7A07FC8F" w14:textId="77777777" w:rsidR="00825666" w:rsidRPr="00F11CDC" w:rsidRDefault="00825666" w:rsidP="00F60E7C">
            <w:pPr>
              <w:contextualSpacing/>
              <w:jc w:val="center"/>
              <w:rPr>
                <w:rFonts w:ascii="Calibri" w:eastAsia="Times New Roman" w:hAnsi="Calibri" w:cs="Calibri"/>
                <w:color w:val="000000"/>
                <w:sz w:val="20"/>
                <w:szCs w:val="20"/>
              </w:rPr>
            </w:pPr>
            <w:r w:rsidRPr="00F11CDC">
              <w:rPr>
                <w:rFonts w:ascii="Calibri" w:eastAsia="Times New Roman" w:hAnsi="Calibri" w:cs="Calibri"/>
                <w:color w:val="000000"/>
                <w:sz w:val="20"/>
                <w:szCs w:val="20"/>
              </w:rPr>
              <w:t>8.50</w:t>
            </w:r>
          </w:p>
        </w:tc>
        <w:tc>
          <w:tcPr>
            <w:tcW w:w="1389" w:type="dxa"/>
            <w:vAlign w:val="bottom"/>
          </w:tcPr>
          <w:p w14:paraId="1F70F9DB" w14:textId="77777777" w:rsidR="00825666" w:rsidRPr="00F11CDC" w:rsidRDefault="00825666" w:rsidP="00F60E7C">
            <w:pPr>
              <w:contextualSpacing/>
              <w:jc w:val="center"/>
              <w:rPr>
                <w:rFonts w:ascii="Calibri" w:eastAsia="Times New Roman" w:hAnsi="Calibri" w:cs="Calibri"/>
                <w:color w:val="000000"/>
                <w:sz w:val="20"/>
                <w:szCs w:val="20"/>
              </w:rPr>
            </w:pPr>
            <w:r w:rsidRPr="00F11CDC">
              <w:rPr>
                <w:rFonts w:ascii="Calibri" w:eastAsia="Times New Roman" w:hAnsi="Calibri" w:cs="Calibri"/>
                <w:color w:val="000000"/>
                <w:sz w:val="20"/>
                <w:szCs w:val="20"/>
              </w:rPr>
              <w:t>90.27</w:t>
            </w:r>
          </w:p>
        </w:tc>
        <w:tc>
          <w:tcPr>
            <w:tcW w:w="1390" w:type="dxa"/>
            <w:vAlign w:val="bottom"/>
          </w:tcPr>
          <w:p w14:paraId="4C2DFC6E" w14:textId="77777777" w:rsidR="00825666" w:rsidRPr="00F11CDC" w:rsidRDefault="00825666" w:rsidP="00F60E7C">
            <w:pPr>
              <w:contextualSpacing/>
              <w:jc w:val="center"/>
              <w:rPr>
                <w:rFonts w:ascii="Calibri" w:eastAsia="Times New Roman" w:hAnsi="Calibri" w:cs="Calibri"/>
                <w:color w:val="000000"/>
                <w:sz w:val="20"/>
                <w:szCs w:val="20"/>
              </w:rPr>
            </w:pPr>
            <w:r w:rsidRPr="00F11CDC">
              <w:rPr>
                <w:rFonts w:ascii="Calibri" w:hAnsi="Calibri" w:cs="Calibri"/>
                <w:color w:val="000000"/>
                <w:sz w:val="20"/>
                <w:szCs w:val="20"/>
              </w:rPr>
              <w:t>90.64</w:t>
            </w:r>
          </w:p>
        </w:tc>
        <w:tc>
          <w:tcPr>
            <w:tcW w:w="1389" w:type="dxa"/>
            <w:vAlign w:val="bottom"/>
          </w:tcPr>
          <w:p w14:paraId="1B39F8CE" w14:textId="77777777" w:rsidR="00825666" w:rsidRPr="00F11CDC" w:rsidRDefault="00825666" w:rsidP="00F60E7C">
            <w:pPr>
              <w:contextualSpacing/>
              <w:jc w:val="center"/>
              <w:rPr>
                <w:rFonts w:ascii="Calibri" w:eastAsia="Times New Roman" w:hAnsi="Calibri" w:cs="Calibri"/>
                <w:color w:val="000000"/>
                <w:sz w:val="20"/>
                <w:szCs w:val="20"/>
              </w:rPr>
            </w:pPr>
            <w:r w:rsidRPr="00F11CDC">
              <w:rPr>
                <w:rFonts w:ascii="Calibri" w:hAnsi="Calibri" w:cs="Calibri"/>
                <w:color w:val="000000"/>
                <w:sz w:val="20"/>
                <w:szCs w:val="20"/>
              </w:rPr>
              <w:t>90.04</w:t>
            </w:r>
          </w:p>
        </w:tc>
        <w:tc>
          <w:tcPr>
            <w:tcW w:w="1390" w:type="dxa"/>
            <w:vAlign w:val="bottom"/>
          </w:tcPr>
          <w:p w14:paraId="1A0ABF72" w14:textId="77777777" w:rsidR="00825666" w:rsidRPr="00F11CDC" w:rsidRDefault="00825666" w:rsidP="00F60E7C">
            <w:pPr>
              <w:contextualSpacing/>
              <w:jc w:val="center"/>
              <w:rPr>
                <w:rFonts w:ascii="Calibri" w:eastAsia="Times New Roman" w:hAnsi="Calibri" w:cs="Calibri"/>
                <w:color w:val="000000"/>
                <w:sz w:val="20"/>
                <w:szCs w:val="20"/>
              </w:rPr>
            </w:pPr>
            <w:r w:rsidRPr="00F11CDC">
              <w:rPr>
                <w:rFonts w:ascii="Calibri" w:eastAsia="Times New Roman" w:hAnsi="Calibri" w:cs="Calibri"/>
                <w:color w:val="000000"/>
                <w:sz w:val="20"/>
                <w:szCs w:val="20"/>
              </w:rPr>
              <w:t>73.99</w:t>
            </w:r>
          </w:p>
        </w:tc>
        <w:tc>
          <w:tcPr>
            <w:tcW w:w="1390" w:type="dxa"/>
            <w:vAlign w:val="bottom"/>
          </w:tcPr>
          <w:p w14:paraId="295F2C44" w14:textId="77777777" w:rsidR="00825666" w:rsidRPr="00F11CDC" w:rsidRDefault="00825666" w:rsidP="00F60E7C">
            <w:pPr>
              <w:contextualSpacing/>
              <w:jc w:val="center"/>
              <w:rPr>
                <w:rFonts w:ascii="Calibri" w:eastAsia="Times New Roman" w:hAnsi="Calibri" w:cs="Calibri"/>
                <w:color w:val="000000"/>
                <w:sz w:val="20"/>
                <w:szCs w:val="20"/>
              </w:rPr>
            </w:pPr>
            <w:r w:rsidRPr="00F11CDC">
              <w:rPr>
                <w:rFonts w:ascii="Calibri" w:eastAsia="Times New Roman" w:hAnsi="Calibri" w:cs="Calibri"/>
                <w:color w:val="000000"/>
                <w:sz w:val="20"/>
                <w:szCs w:val="20"/>
              </w:rPr>
              <w:t>105.70</w:t>
            </w:r>
          </w:p>
        </w:tc>
      </w:tr>
      <w:tr w:rsidR="00825666" w:rsidRPr="00F11CDC" w14:paraId="21EF6361" w14:textId="77777777" w:rsidTr="00033521">
        <w:tc>
          <w:tcPr>
            <w:tcW w:w="2628" w:type="dxa"/>
            <w:vAlign w:val="bottom"/>
          </w:tcPr>
          <w:p w14:paraId="6F716857" w14:textId="77777777" w:rsidR="00825666" w:rsidRPr="00F11CDC" w:rsidRDefault="00825666" w:rsidP="00F60E7C">
            <w:pPr>
              <w:contextualSpacing/>
              <w:jc w:val="center"/>
              <w:rPr>
                <w:rFonts w:ascii="Calibri" w:eastAsia="Times New Roman" w:hAnsi="Calibri" w:cs="Calibri"/>
                <w:color w:val="000000"/>
                <w:sz w:val="20"/>
                <w:szCs w:val="20"/>
              </w:rPr>
            </w:pPr>
            <w:r w:rsidRPr="00F11CDC">
              <w:rPr>
                <w:rFonts w:ascii="Calibri" w:eastAsia="Times New Roman" w:hAnsi="Calibri" w:cs="Calibri"/>
                <w:color w:val="000000"/>
                <w:sz w:val="20"/>
                <w:szCs w:val="20"/>
              </w:rPr>
              <w:t>8.25</w:t>
            </w:r>
          </w:p>
        </w:tc>
        <w:tc>
          <w:tcPr>
            <w:tcW w:w="1389" w:type="dxa"/>
            <w:tcBorders>
              <w:bottom w:val="single" w:sz="4" w:space="0" w:color="auto"/>
            </w:tcBorders>
            <w:vAlign w:val="bottom"/>
          </w:tcPr>
          <w:p w14:paraId="6CBCC811" w14:textId="77777777" w:rsidR="00825666" w:rsidRPr="00F11CDC" w:rsidRDefault="00825666" w:rsidP="00F60E7C">
            <w:pPr>
              <w:contextualSpacing/>
              <w:jc w:val="center"/>
              <w:rPr>
                <w:rFonts w:ascii="Calibri" w:eastAsia="Times New Roman" w:hAnsi="Calibri" w:cs="Calibri"/>
                <w:color w:val="000000"/>
                <w:sz w:val="20"/>
                <w:szCs w:val="20"/>
              </w:rPr>
            </w:pPr>
            <w:r w:rsidRPr="00F11CDC">
              <w:rPr>
                <w:rFonts w:ascii="Calibri" w:eastAsia="Times New Roman" w:hAnsi="Calibri" w:cs="Calibri"/>
                <w:color w:val="000000"/>
                <w:sz w:val="20"/>
                <w:szCs w:val="20"/>
              </w:rPr>
              <w:t>87.81</w:t>
            </w:r>
          </w:p>
        </w:tc>
        <w:tc>
          <w:tcPr>
            <w:tcW w:w="1390" w:type="dxa"/>
            <w:vAlign w:val="bottom"/>
          </w:tcPr>
          <w:p w14:paraId="215414C3" w14:textId="77777777" w:rsidR="00825666" w:rsidRPr="00F11CDC" w:rsidRDefault="00825666" w:rsidP="00F60E7C">
            <w:pPr>
              <w:contextualSpacing/>
              <w:jc w:val="center"/>
              <w:rPr>
                <w:rFonts w:ascii="Calibri" w:eastAsia="Times New Roman" w:hAnsi="Calibri" w:cs="Calibri"/>
                <w:color w:val="000000"/>
                <w:sz w:val="20"/>
                <w:szCs w:val="20"/>
              </w:rPr>
            </w:pPr>
            <w:r w:rsidRPr="00F11CDC">
              <w:rPr>
                <w:rFonts w:ascii="Calibri" w:hAnsi="Calibri" w:cs="Calibri"/>
                <w:color w:val="000000"/>
                <w:sz w:val="20"/>
                <w:szCs w:val="20"/>
              </w:rPr>
              <w:t>87.99</w:t>
            </w:r>
          </w:p>
        </w:tc>
        <w:tc>
          <w:tcPr>
            <w:tcW w:w="1389" w:type="dxa"/>
            <w:vAlign w:val="bottom"/>
          </w:tcPr>
          <w:p w14:paraId="31AD3590" w14:textId="77777777" w:rsidR="00825666" w:rsidRPr="00F11CDC" w:rsidRDefault="00825666" w:rsidP="00F60E7C">
            <w:pPr>
              <w:contextualSpacing/>
              <w:jc w:val="center"/>
              <w:rPr>
                <w:rFonts w:ascii="Calibri" w:eastAsia="Times New Roman" w:hAnsi="Calibri" w:cs="Calibri"/>
                <w:color w:val="000000"/>
                <w:sz w:val="20"/>
                <w:szCs w:val="20"/>
              </w:rPr>
            </w:pPr>
            <w:r w:rsidRPr="00F11CDC">
              <w:rPr>
                <w:rFonts w:ascii="Calibri" w:hAnsi="Calibri" w:cs="Calibri"/>
                <w:color w:val="000000"/>
                <w:sz w:val="20"/>
                <w:szCs w:val="20"/>
              </w:rPr>
              <w:t>87.70</w:t>
            </w:r>
          </w:p>
        </w:tc>
        <w:tc>
          <w:tcPr>
            <w:tcW w:w="1390" w:type="dxa"/>
            <w:vAlign w:val="bottom"/>
          </w:tcPr>
          <w:p w14:paraId="5CEC9C0B" w14:textId="77777777" w:rsidR="00825666" w:rsidRPr="00F11CDC" w:rsidRDefault="00825666" w:rsidP="00F60E7C">
            <w:pPr>
              <w:contextualSpacing/>
              <w:jc w:val="center"/>
              <w:rPr>
                <w:rFonts w:ascii="Calibri" w:eastAsia="Times New Roman" w:hAnsi="Calibri" w:cs="Calibri"/>
                <w:color w:val="000000"/>
                <w:sz w:val="20"/>
                <w:szCs w:val="20"/>
              </w:rPr>
            </w:pPr>
            <w:r w:rsidRPr="00F11CDC">
              <w:rPr>
                <w:rFonts w:ascii="Calibri" w:eastAsia="Times New Roman" w:hAnsi="Calibri" w:cs="Calibri"/>
                <w:color w:val="000000"/>
                <w:sz w:val="20"/>
                <w:szCs w:val="20"/>
              </w:rPr>
              <w:t>71.98</w:t>
            </w:r>
          </w:p>
        </w:tc>
        <w:tc>
          <w:tcPr>
            <w:tcW w:w="1390" w:type="dxa"/>
            <w:vAlign w:val="bottom"/>
          </w:tcPr>
          <w:p w14:paraId="7C2B3DD1" w14:textId="77777777" w:rsidR="00825666" w:rsidRPr="00F11CDC" w:rsidRDefault="00825666" w:rsidP="00F60E7C">
            <w:pPr>
              <w:contextualSpacing/>
              <w:jc w:val="center"/>
              <w:rPr>
                <w:rFonts w:ascii="Calibri" w:eastAsia="Times New Roman" w:hAnsi="Calibri" w:cs="Calibri"/>
                <w:color w:val="000000"/>
                <w:sz w:val="20"/>
                <w:szCs w:val="20"/>
              </w:rPr>
            </w:pPr>
            <w:r w:rsidRPr="00F11CDC">
              <w:rPr>
                <w:rFonts w:ascii="Calibri" w:eastAsia="Times New Roman" w:hAnsi="Calibri" w:cs="Calibri"/>
                <w:color w:val="000000"/>
                <w:sz w:val="20"/>
                <w:szCs w:val="20"/>
              </w:rPr>
              <w:t>102.82</w:t>
            </w:r>
          </w:p>
        </w:tc>
      </w:tr>
      <w:tr w:rsidR="00825666" w:rsidRPr="00F11CDC" w14:paraId="70AB557D" w14:textId="77777777" w:rsidTr="00033521">
        <w:tc>
          <w:tcPr>
            <w:tcW w:w="2628" w:type="dxa"/>
            <w:vAlign w:val="bottom"/>
          </w:tcPr>
          <w:p w14:paraId="77C43BA7" w14:textId="77777777" w:rsidR="00825666" w:rsidRPr="00F11CDC" w:rsidRDefault="00825666" w:rsidP="00F60E7C">
            <w:pPr>
              <w:contextualSpacing/>
              <w:jc w:val="center"/>
              <w:rPr>
                <w:rFonts w:ascii="Calibri" w:eastAsia="Times New Roman" w:hAnsi="Calibri" w:cs="Calibri"/>
                <w:color w:val="000000"/>
                <w:sz w:val="20"/>
                <w:szCs w:val="20"/>
              </w:rPr>
            </w:pPr>
            <w:r w:rsidRPr="00F11CDC">
              <w:rPr>
                <w:rFonts w:ascii="Calibri" w:eastAsia="Times New Roman" w:hAnsi="Calibri" w:cs="Calibri"/>
                <w:color w:val="000000"/>
                <w:sz w:val="20"/>
                <w:szCs w:val="20"/>
              </w:rPr>
              <w:t>8.00</w:t>
            </w:r>
          </w:p>
        </w:tc>
        <w:tc>
          <w:tcPr>
            <w:tcW w:w="1389" w:type="dxa"/>
            <w:shd w:val="pct15" w:color="auto" w:fill="auto"/>
            <w:vAlign w:val="bottom"/>
          </w:tcPr>
          <w:p w14:paraId="3E317772" w14:textId="77777777" w:rsidR="00825666" w:rsidRPr="00F11CDC" w:rsidRDefault="00825666" w:rsidP="00F60E7C">
            <w:pPr>
              <w:contextualSpacing/>
              <w:jc w:val="center"/>
              <w:rPr>
                <w:rFonts w:ascii="Calibri" w:eastAsia="Times New Roman" w:hAnsi="Calibri" w:cs="Calibri"/>
                <w:color w:val="000000"/>
                <w:sz w:val="20"/>
                <w:szCs w:val="20"/>
              </w:rPr>
            </w:pPr>
            <w:r w:rsidRPr="00F11CDC">
              <w:rPr>
                <w:rFonts w:ascii="Calibri" w:eastAsia="Times New Roman" w:hAnsi="Calibri" w:cs="Calibri"/>
                <w:color w:val="000000"/>
                <w:sz w:val="20"/>
                <w:szCs w:val="20"/>
              </w:rPr>
              <w:t>85.40</w:t>
            </w:r>
          </w:p>
        </w:tc>
        <w:tc>
          <w:tcPr>
            <w:tcW w:w="1390" w:type="dxa"/>
            <w:vAlign w:val="bottom"/>
          </w:tcPr>
          <w:p w14:paraId="0AC01AF9" w14:textId="77777777" w:rsidR="00825666" w:rsidRPr="00F11CDC" w:rsidRDefault="00825666" w:rsidP="00F60E7C">
            <w:pPr>
              <w:contextualSpacing/>
              <w:jc w:val="center"/>
              <w:rPr>
                <w:rFonts w:ascii="Calibri" w:eastAsia="Times New Roman" w:hAnsi="Calibri" w:cs="Calibri"/>
                <w:color w:val="000000"/>
                <w:sz w:val="20"/>
                <w:szCs w:val="20"/>
              </w:rPr>
            </w:pPr>
            <w:r w:rsidRPr="00F11CDC">
              <w:rPr>
                <w:rFonts w:ascii="Calibri" w:hAnsi="Calibri" w:cs="Calibri"/>
                <w:color w:val="000000"/>
                <w:sz w:val="20"/>
                <w:szCs w:val="20"/>
              </w:rPr>
              <w:t>85.40</w:t>
            </w:r>
          </w:p>
        </w:tc>
        <w:tc>
          <w:tcPr>
            <w:tcW w:w="1389" w:type="dxa"/>
            <w:vAlign w:val="bottom"/>
          </w:tcPr>
          <w:p w14:paraId="06D76BAC" w14:textId="77777777" w:rsidR="00825666" w:rsidRPr="00F11CDC" w:rsidRDefault="00825666" w:rsidP="00F60E7C">
            <w:pPr>
              <w:contextualSpacing/>
              <w:jc w:val="center"/>
              <w:rPr>
                <w:rFonts w:ascii="Calibri" w:eastAsia="Times New Roman" w:hAnsi="Calibri" w:cs="Calibri"/>
                <w:color w:val="000000"/>
                <w:sz w:val="20"/>
                <w:szCs w:val="20"/>
              </w:rPr>
            </w:pPr>
            <w:r w:rsidRPr="00F11CDC">
              <w:rPr>
                <w:rFonts w:ascii="Calibri" w:hAnsi="Calibri" w:cs="Calibri"/>
                <w:color w:val="000000"/>
                <w:sz w:val="20"/>
                <w:szCs w:val="20"/>
              </w:rPr>
              <w:t>85.40</w:t>
            </w:r>
          </w:p>
        </w:tc>
        <w:tc>
          <w:tcPr>
            <w:tcW w:w="1390" w:type="dxa"/>
            <w:vAlign w:val="bottom"/>
          </w:tcPr>
          <w:p w14:paraId="114A5538" w14:textId="77777777" w:rsidR="00825666" w:rsidRPr="00F11CDC" w:rsidRDefault="00825666" w:rsidP="00F60E7C">
            <w:pPr>
              <w:contextualSpacing/>
              <w:jc w:val="center"/>
              <w:rPr>
                <w:rFonts w:ascii="Calibri" w:eastAsia="Times New Roman" w:hAnsi="Calibri" w:cs="Calibri"/>
                <w:color w:val="000000"/>
                <w:sz w:val="20"/>
                <w:szCs w:val="20"/>
              </w:rPr>
            </w:pPr>
            <w:r w:rsidRPr="00F11CDC">
              <w:rPr>
                <w:rFonts w:ascii="Calibri" w:eastAsia="Times New Roman" w:hAnsi="Calibri" w:cs="Calibri"/>
                <w:color w:val="000000"/>
                <w:sz w:val="20"/>
                <w:szCs w:val="20"/>
              </w:rPr>
              <w:t>70.00</w:t>
            </w:r>
          </w:p>
        </w:tc>
        <w:tc>
          <w:tcPr>
            <w:tcW w:w="1390" w:type="dxa"/>
            <w:vAlign w:val="bottom"/>
          </w:tcPr>
          <w:p w14:paraId="6BB3ED81" w14:textId="77777777" w:rsidR="00825666" w:rsidRPr="00F11CDC" w:rsidRDefault="00825666" w:rsidP="00F60E7C">
            <w:pPr>
              <w:contextualSpacing/>
              <w:jc w:val="center"/>
              <w:rPr>
                <w:rFonts w:ascii="Calibri" w:eastAsia="Times New Roman" w:hAnsi="Calibri" w:cs="Calibri"/>
                <w:color w:val="000000"/>
                <w:sz w:val="20"/>
                <w:szCs w:val="20"/>
              </w:rPr>
            </w:pPr>
            <w:r w:rsidRPr="00F11CDC">
              <w:rPr>
                <w:rFonts w:ascii="Calibri" w:eastAsia="Times New Roman" w:hAnsi="Calibri" w:cs="Calibri"/>
                <w:color w:val="000000"/>
                <w:sz w:val="20"/>
                <w:szCs w:val="20"/>
              </w:rPr>
              <w:t>100.00</w:t>
            </w:r>
          </w:p>
        </w:tc>
      </w:tr>
      <w:tr w:rsidR="00825666" w:rsidRPr="00F11CDC" w14:paraId="5E809F52" w14:textId="77777777" w:rsidTr="00033521">
        <w:tc>
          <w:tcPr>
            <w:tcW w:w="2628" w:type="dxa"/>
            <w:vAlign w:val="bottom"/>
          </w:tcPr>
          <w:p w14:paraId="77FB7E57" w14:textId="77777777" w:rsidR="00825666" w:rsidRPr="00F11CDC" w:rsidRDefault="00825666" w:rsidP="00F60E7C">
            <w:pPr>
              <w:contextualSpacing/>
              <w:jc w:val="center"/>
              <w:rPr>
                <w:rFonts w:ascii="Calibri" w:eastAsia="Times New Roman" w:hAnsi="Calibri" w:cs="Calibri"/>
                <w:color w:val="000000"/>
                <w:sz w:val="20"/>
                <w:szCs w:val="20"/>
              </w:rPr>
            </w:pPr>
            <w:r w:rsidRPr="00F11CDC">
              <w:rPr>
                <w:rFonts w:ascii="Calibri" w:eastAsia="Times New Roman" w:hAnsi="Calibri" w:cs="Calibri"/>
                <w:color w:val="000000"/>
                <w:sz w:val="20"/>
                <w:szCs w:val="20"/>
              </w:rPr>
              <w:t>7.75</w:t>
            </w:r>
          </w:p>
        </w:tc>
        <w:tc>
          <w:tcPr>
            <w:tcW w:w="1389" w:type="dxa"/>
            <w:vAlign w:val="bottom"/>
          </w:tcPr>
          <w:p w14:paraId="062AB909" w14:textId="77777777" w:rsidR="00825666" w:rsidRPr="00F11CDC" w:rsidRDefault="00825666" w:rsidP="00F60E7C">
            <w:pPr>
              <w:contextualSpacing/>
              <w:jc w:val="center"/>
              <w:rPr>
                <w:rFonts w:ascii="Calibri" w:eastAsia="Times New Roman" w:hAnsi="Calibri" w:cs="Calibri"/>
                <w:color w:val="000000"/>
                <w:sz w:val="20"/>
                <w:szCs w:val="20"/>
              </w:rPr>
            </w:pPr>
            <w:r w:rsidRPr="00F11CDC">
              <w:rPr>
                <w:rFonts w:ascii="Calibri" w:eastAsia="Times New Roman" w:hAnsi="Calibri" w:cs="Calibri"/>
                <w:color w:val="000000"/>
                <w:sz w:val="20"/>
                <w:szCs w:val="20"/>
              </w:rPr>
              <w:t>83.04</w:t>
            </w:r>
          </w:p>
        </w:tc>
        <w:tc>
          <w:tcPr>
            <w:tcW w:w="1390" w:type="dxa"/>
            <w:vAlign w:val="bottom"/>
          </w:tcPr>
          <w:p w14:paraId="30093143" w14:textId="77777777" w:rsidR="00825666" w:rsidRPr="00F11CDC" w:rsidRDefault="00825666" w:rsidP="00F60E7C">
            <w:pPr>
              <w:contextualSpacing/>
              <w:jc w:val="center"/>
              <w:rPr>
                <w:rFonts w:ascii="Calibri" w:eastAsia="Times New Roman" w:hAnsi="Calibri" w:cs="Calibri"/>
                <w:color w:val="000000"/>
                <w:sz w:val="20"/>
                <w:szCs w:val="20"/>
              </w:rPr>
            </w:pPr>
            <w:r w:rsidRPr="00F11CDC">
              <w:rPr>
                <w:rFonts w:ascii="Calibri" w:hAnsi="Calibri" w:cs="Calibri"/>
                <w:color w:val="000000"/>
                <w:sz w:val="20"/>
                <w:szCs w:val="20"/>
              </w:rPr>
              <w:t>82.86</w:t>
            </w:r>
          </w:p>
        </w:tc>
        <w:tc>
          <w:tcPr>
            <w:tcW w:w="1389" w:type="dxa"/>
            <w:vAlign w:val="bottom"/>
          </w:tcPr>
          <w:p w14:paraId="6BB3AA82" w14:textId="77777777" w:rsidR="00825666" w:rsidRPr="00F11CDC" w:rsidRDefault="00825666" w:rsidP="00F60E7C">
            <w:pPr>
              <w:contextualSpacing/>
              <w:jc w:val="center"/>
              <w:rPr>
                <w:rFonts w:ascii="Calibri" w:eastAsia="Times New Roman" w:hAnsi="Calibri" w:cs="Calibri"/>
                <w:color w:val="000000"/>
                <w:sz w:val="20"/>
                <w:szCs w:val="20"/>
              </w:rPr>
            </w:pPr>
            <w:r w:rsidRPr="00F11CDC">
              <w:rPr>
                <w:rFonts w:ascii="Calibri" w:hAnsi="Calibri" w:cs="Calibri"/>
                <w:color w:val="000000"/>
                <w:sz w:val="20"/>
                <w:szCs w:val="20"/>
              </w:rPr>
              <w:t>83.14</w:t>
            </w:r>
          </w:p>
        </w:tc>
        <w:tc>
          <w:tcPr>
            <w:tcW w:w="1390" w:type="dxa"/>
            <w:vAlign w:val="bottom"/>
          </w:tcPr>
          <w:p w14:paraId="66A12EE4" w14:textId="77777777" w:rsidR="00825666" w:rsidRPr="00F11CDC" w:rsidRDefault="00825666" w:rsidP="00F60E7C">
            <w:pPr>
              <w:contextualSpacing/>
              <w:jc w:val="center"/>
              <w:rPr>
                <w:rFonts w:ascii="Calibri" w:eastAsia="Times New Roman" w:hAnsi="Calibri" w:cs="Calibri"/>
                <w:color w:val="000000"/>
                <w:sz w:val="20"/>
                <w:szCs w:val="20"/>
              </w:rPr>
            </w:pPr>
            <w:r w:rsidRPr="00F11CDC">
              <w:rPr>
                <w:rFonts w:ascii="Calibri" w:eastAsia="Times New Roman" w:hAnsi="Calibri" w:cs="Calibri"/>
                <w:color w:val="000000"/>
                <w:sz w:val="20"/>
                <w:szCs w:val="20"/>
              </w:rPr>
              <w:t>68.06</w:t>
            </w:r>
          </w:p>
        </w:tc>
        <w:tc>
          <w:tcPr>
            <w:tcW w:w="1390" w:type="dxa"/>
            <w:vAlign w:val="bottom"/>
          </w:tcPr>
          <w:p w14:paraId="5090CFCC" w14:textId="77777777" w:rsidR="00825666" w:rsidRPr="00F11CDC" w:rsidRDefault="00825666" w:rsidP="00F60E7C">
            <w:pPr>
              <w:contextualSpacing/>
              <w:jc w:val="center"/>
              <w:rPr>
                <w:rFonts w:ascii="Calibri" w:eastAsia="Times New Roman" w:hAnsi="Calibri" w:cs="Calibri"/>
                <w:color w:val="000000"/>
                <w:sz w:val="20"/>
                <w:szCs w:val="20"/>
              </w:rPr>
            </w:pPr>
            <w:r w:rsidRPr="00F11CDC">
              <w:rPr>
                <w:rFonts w:ascii="Calibri" w:eastAsia="Times New Roman" w:hAnsi="Calibri" w:cs="Calibri"/>
                <w:color w:val="000000"/>
                <w:sz w:val="20"/>
                <w:szCs w:val="20"/>
              </w:rPr>
              <w:t>97.23</w:t>
            </w:r>
          </w:p>
        </w:tc>
      </w:tr>
      <w:tr w:rsidR="00825666" w:rsidRPr="00F11CDC" w14:paraId="2AA4E53C" w14:textId="77777777" w:rsidTr="00033521">
        <w:tc>
          <w:tcPr>
            <w:tcW w:w="2628" w:type="dxa"/>
            <w:vAlign w:val="bottom"/>
          </w:tcPr>
          <w:p w14:paraId="076D014E" w14:textId="77777777" w:rsidR="00825666" w:rsidRPr="00F11CDC" w:rsidRDefault="00825666" w:rsidP="00F60E7C">
            <w:pPr>
              <w:contextualSpacing/>
              <w:jc w:val="center"/>
              <w:rPr>
                <w:rFonts w:ascii="Calibri" w:eastAsia="Times New Roman" w:hAnsi="Calibri" w:cs="Calibri"/>
                <w:color w:val="000000"/>
                <w:sz w:val="20"/>
                <w:szCs w:val="20"/>
              </w:rPr>
            </w:pPr>
            <w:r w:rsidRPr="00F11CDC">
              <w:rPr>
                <w:rFonts w:ascii="Calibri" w:eastAsia="Times New Roman" w:hAnsi="Calibri" w:cs="Calibri"/>
                <w:color w:val="000000"/>
                <w:sz w:val="20"/>
                <w:szCs w:val="20"/>
              </w:rPr>
              <w:t>7.50</w:t>
            </w:r>
          </w:p>
        </w:tc>
        <w:tc>
          <w:tcPr>
            <w:tcW w:w="1389" w:type="dxa"/>
            <w:vAlign w:val="bottom"/>
          </w:tcPr>
          <w:p w14:paraId="7BD7D21E" w14:textId="77777777" w:rsidR="00825666" w:rsidRPr="00F11CDC" w:rsidRDefault="00825666" w:rsidP="00F60E7C">
            <w:pPr>
              <w:contextualSpacing/>
              <w:jc w:val="center"/>
              <w:rPr>
                <w:rFonts w:ascii="Calibri" w:eastAsia="Times New Roman" w:hAnsi="Calibri" w:cs="Calibri"/>
                <w:color w:val="000000"/>
                <w:sz w:val="20"/>
                <w:szCs w:val="20"/>
              </w:rPr>
            </w:pPr>
            <w:r w:rsidRPr="00F11CDC">
              <w:rPr>
                <w:rFonts w:ascii="Calibri" w:eastAsia="Times New Roman" w:hAnsi="Calibri" w:cs="Calibri"/>
                <w:color w:val="000000"/>
                <w:sz w:val="20"/>
                <w:szCs w:val="20"/>
              </w:rPr>
              <w:t>80.72</w:t>
            </w:r>
          </w:p>
        </w:tc>
        <w:tc>
          <w:tcPr>
            <w:tcW w:w="1390" w:type="dxa"/>
            <w:vAlign w:val="bottom"/>
          </w:tcPr>
          <w:p w14:paraId="21A4BF5D" w14:textId="77777777" w:rsidR="00825666" w:rsidRPr="00F11CDC" w:rsidRDefault="00825666" w:rsidP="00F60E7C">
            <w:pPr>
              <w:contextualSpacing/>
              <w:jc w:val="center"/>
              <w:rPr>
                <w:rFonts w:ascii="Calibri" w:eastAsia="Times New Roman" w:hAnsi="Calibri" w:cs="Calibri"/>
                <w:color w:val="000000"/>
                <w:sz w:val="20"/>
                <w:szCs w:val="20"/>
              </w:rPr>
            </w:pPr>
            <w:r w:rsidRPr="00F11CDC">
              <w:rPr>
                <w:rFonts w:ascii="Calibri" w:hAnsi="Calibri" w:cs="Calibri"/>
                <w:color w:val="000000"/>
                <w:sz w:val="20"/>
                <w:szCs w:val="20"/>
              </w:rPr>
              <w:t>80.38</w:t>
            </w:r>
          </w:p>
        </w:tc>
        <w:tc>
          <w:tcPr>
            <w:tcW w:w="1389" w:type="dxa"/>
            <w:vAlign w:val="bottom"/>
          </w:tcPr>
          <w:p w14:paraId="484E0D01" w14:textId="77777777" w:rsidR="00825666" w:rsidRPr="00F11CDC" w:rsidRDefault="00825666" w:rsidP="00F60E7C">
            <w:pPr>
              <w:contextualSpacing/>
              <w:jc w:val="center"/>
              <w:rPr>
                <w:rFonts w:ascii="Calibri" w:eastAsia="Times New Roman" w:hAnsi="Calibri" w:cs="Calibri"/>
                <w:color w:val="000000"/>
                <w:sz w:val="20"/>
                <w:szCs w:val="20"/>
              </w:rPr>
            </w:pPr>
            <w:r w:rsidRPr="00F11CDC">
              <w:rPr>
                <w:rFonts w:ascii="Calibri" w:hAnsi="Calibri" w:cs="Calibri"/>
                <w:color w:val="000000"/>
                <w:sz w:val="20"/>
                <w:szCs w:val="20"/>
              </w:rPr>
              <w:t>80.92</w:t>
            </w:r>
          </w:p>
        </w:tc>
        <w:tc>
          <w:tcPr>
            <w:tcW w:w="1390" w:type="dxa"/>
            <w:vAlign w:val="bottom"/>
          </w:tcPr>
          <w:p w14:paraId="7555BE5F" w14:textId="77777777" w:rsidR="00825666" w:rsidRPr="00F11CDC" w:rsidRDefault="00825666" w:rsidP="00F60E7C">
            <w:pPr>
              <w:contextualSpacing/>
              <w:jc w:val="center"/>
              <w:rPr>
                <w:rFonts w:ascii="Calibri" w:eastAsia="Times New Roman" w:hAnsi="Calibri" w:cs="Calibri"/>
                <w:color w:val="000000"/>
                <w:sz w:val="20"/>
                <w:szCs w:val="20"/>
              </w:rPr>
            </w:pPr>
            <w:r w:rsidRPr="00F11CDC">
              <w:rPr>
                <w:rFonts w:ascii="Calibri" w:eastAsia="Times New Roman" w:hAnsi="Calibri" w:cs="Calibri"/>
                <w:color w:val="000000"/>
                <w:sz w:val="20"/>
                <w:szCs w:val="20"/>
              </w:rPr>
              <w:t>66.16</w:t>
            </w:r>
          </w:p>
        </w:tc>
        <w:tc>
          <w:tcPr>
            <w:tcW w:w="1390" w:type="dxa"/>
            <w:vAlign w:val="bottom"/>
          </w:tcPr>
          <w:p w14:paraId="757528A3" w14:textId="77777777" w:rsidR="00825666" w:rsidRPr="00F11CDC" w:rsidRDefault="00825666" w:rsidP="00F60E7C">
            <w:pPr>
              <w:contextualSpacing/>
              <w:jc w:val="center"/>
              <w:rPr>
                <w:rFonts w:ascii="Calibri" w:eastAsia="Times New Roman" w:hAnsi="Calibri" w:cs="Calibri"/>
                <w:color w:val="000000"/>
                <w:sz w:val="20"/>
                <w:szCs w:val="20"/>
              </w:rPr>
            </w:pPr>
            <w:r w:rsidRPr="00F11CDC">
              <w:rPr>
                <w:rFonts w:ascii="Calibri" w:eastAsia="Times New Roman" w:hAnsi="Calibri" w:cs="Calibri"/>
                <w:color w:val="000000"/>
                <w:sz w:val="20"/>
                <w:szCs w:val="20"/>
              </w:rPr>
              <w:t>94.51</w:t>
            </w:r>
          </w:p>
        </w:tc>
      </w:tr>
      <w:tr w:rsidR="00825666" w:rsidRPr="00F11CDC" w14:paraId="3F8F2CF3" w14:textId="77777777" w:rsidTr="00033521">
        <w:tc>
          <w:tcPr>
            <w:tcW w:w="2628" w:type="dxa"/>
            <w:vAlign w:val="bottom"/>
          </w:tcPr>
          <w:p w14:paraId="12FAF78E" w14:textId="77777777" w:rsidR="00825666" w:rsidRPr="00F11CDC" w:rsidRDefault="00825666" w:rsidP="00F60E7C">
            <w:pPr>
              <w:contextualSpacing/>
              <w:jc w:val="center"/>
              <w:rPr>
                <w:rFonts w:ascii="Calibri" w:eastAsia="Times New Roman" w:hAnsi="Calibri" w:cs="Calibri"/>
                <w:color w:val="000000"/>
                <w:sz w:val="20"/>
                <w:szCs w:val="20"/>
              </w:rPr>
            </w:pPr>
            <w:r w:rsidRPr="00F11CDC">
              <w:rPr>
                <w:rFonts w:ascii="Calibri" w:eastAsia="Times New Roman" w:hAnsi="Calibri" w:cs="Calibri"/>
                <w:color w:val="000000"/>
                <w:sz w:val="20"/>
                <w:szCs w:val="20"/>
              </w:rPr>
              <w:t>7.25</w:t>
            </w:r>
          </w:p>
        </w:tc>
        <w:tc>
          <w:tcPr>
            <w:tcW w:w="1389" w:type="dxa"/>
            <w:vAlign w:val="bottom"/>
          </w:tcPr>
          <w:p w14:paraId="40F7C460" w14:textId="77777777" w:rsidR="00825666" w:rsidRPr="00F11CDC" w:rsidRDefault="00825666" w:rsidP="00F60E7C">
            <w:pPr>
              <w:contextualSpacing/>
              <w:jc w:val="center"/>
              <w:rPr>
                <w:rFonts w:ascii="Calibri" w:eastAsia="Times New Roman" w:hAnsi="Calibri" w:cs="Calibri"/>
                <w:color w:val="000000"/>
                <w:sz w:val="20"/>
                <w:szCs w:val="20"/>
              </w:rPr>
            </w:pPr>
            <w:r w:rsidRPr="00F11CDC">
              <w:rPr>
                <w:rFonts w:ascii="Calibri" w:eastAsia="Times New Roman" w:hAnsi="Calibri" w:cs="Calibri"/>
                <w:color w:val="000000"/>
                <w:sz w:val="20"/>
                <w:szCs w:val="20"/>
              </w:rPr>
              <w:t>78.44</w:t>
            </w:r>
          </w:p>
        </w:tc>
        <w:tc>
          <w:tcPr>
            <w:tcW w:w="1390" w:type="dxa"/>
            <w:vAlign w:val="bottom"/>
          </w:tcPr>
          <w:p w14:paraId="7C355CC8" w14:textId="77777777" w:rsidR="00825666" w:rsidRPr="00F11CDC" w:rsidRDefault="00825666" w:rsidP="00F60E7C">
            <w:pPr>
              <w:contextualSpacing/>
              <w:jc w:val="center"/>
              <w:rPr>
                <w:rFonts w:ascii="Calibri" w:eastAsia="Times New Roman" w:hAnsi="Calibri" w:cs="Calibri"/>
                <w:color w:val="000000"/>
                <w:sz w:val="20"/>
                <w:szCs w:val="20"/>
              </w:rPr>
            </w:pPr>
            <w:r w:rsidRPr="00F11CDC">
              <w:rPr>
                <w:rFonts w:ascii="Calibri" w:hAnsi="Calibri" w:cs="Calibri"/>
                <w:color w:val="000000"/>
                <w:sz w:val="20"/>
                <w:szCs w:val="20"/>
              </w:rPr>
              <w:t>77.94</w:t>
            </w:r>
          </w:p>
        </w:tc>
        <w:tc>
          <w:tcPr>
            <w:tcW w:w="1389" w:type="dxa"/>
            <w:vAlign w:val="bottom"/>
          </w:tcPr>
          <w:p w14:paraId="2635508E" w14:textId="77777777" w:rsidR="00825666" w:rsidRPr="00F11CDC" w:rsidRDefault="00825666" w:rsidP="00F60E7C">
            <w:pPr>
              <w:contextualSpacing/>
              <w:jc w:val="center"/>
              <w:rPr>
                <w:rFonts w:ascii="Calibri" w:eastAsia="Times New Roman" w:hAnsi="Calibri" w:cs="Calibri"/>
                <w:color w:val="000000"/>
                <w:sz w:val="20"/>
                <w:szCs w:val="20"/>
              </w:rPr>
            </w:pPr>
            <w:r w:rsidRPr="00F11CDC">
              <w:rPr>
                <w:rFonts w:ascii="Calibri" w:hAnsi="Calibri" w:cs="Calibri"/>
                <w:color w:val="000000"/>
                <w:sz w:val="20"/>
                <w:szCs w:val="20"/>
              </w:rPr>
              <w:t>78.74</w:t>
            </w:r>
          </w:p>
        </w:tc>
        <w:tc>
          <w:tcPr>
            <w:tcW w:w="1390" w:type="dxa"/>
            <w:vAlign w:val="bottom"/>
          </w:tcPr>
          <w:p w14:paraId="666020A4" w14:textId="77777777" w:rsidR="00825666" w:rsidRPr="00F11CDC" w:rsidRDefault="00825666" w:rsidP="00F60E7C">
            <w:pPr>
              <w:contextualSpacing/>
              <w:jc w:val="center"/>
              <w:rPr>
                <w:rFonts w:ascii="Calibri" w:eastAsia="Times New Roman" w:hAnsi="Calibri" w:cs="Calibri"/>
                <w:color w:val="000000"/>
                <w:sz w:val="20"/>
                <w:szCs w:val="20"/>
              </w:rPr>
            </w:pPr>
            <w:r w:rsidRPr="00F11CDC">
              <w:rPr>
                <w:rFonts w:ascii="Calibri" w:eastAsia="Times New Roman" w:hAnsi="Calibri" w:cs="Calibri"/>
                <w:color w:val="000000"/>
                <w:sz w:val="20"/>
                <w:szCs w:val="20"/>
              </w:rPr>
              <w:t>64.30</w:t>
            </w:r>
          </w:p>
        </w:tc>
        <w:tc>
          <w:tcPr>
            <w:tcW w:w="1390" w:type="dxa"/>
            <w:vAlign w:val="bottom"/>
          </w:tcPr>
          <w:p w14:paraId="10D1113E" w14:textId="77777777" w:rsidR="00825666" w:rsidRPr="00F11CDC" w:rsidRDefault="00825666" w:rsidP="00F60E7C">
            <w:pPr>
              <w:contextualSpacing/>
              <w:jc w:val="center"/>
              <w:rPr>
                <w:rFonts w:ascii="Calibri" w:eastAsia="Times New Roman" w:hAnsi="Calibri" w:cs="Calibri"/>
                <w:color w:val="000000"/>
                <w:sz w:val="20"/>
                <w:szCs w:val="20"/>
              </w:rPr>
            </w:pPr>
            <w:r w:rsidRPr="00F11CDC">
              <w:rPr>
                <w:rFonts w:ascii="Calibri" w:eastAsia="Times New Roman" w:hAnsi="Calibri" w:cs="Calibri"/>
                <w:color w:val="000000"/>
                <w:sz w:val="20"/>
                <w:szCs w:val="20"/>
              </w:rPr>
              <w:t>91.85</w:t>
            </w:r>
          </w:p>
        </w:tc>
      </w:tr>
      <w:tr w:rsidR="00825666" w:rsidRPr="00F11CDC" w14:paraId="652C1BC6" w14:textId="77777777" w:rsidTr="00033521">
        <w:tc>
          <w:tcPr>
            <w:tcW w:w="2628" w:type="dxa"/>
            <w:vAlign w:val="bottom"/>
          </w:tcPr>
          <w:p w14:paraId="72BC2D4E" w14:textId="77777777" w:rsidR="00825666" w:rsidRPr="00F11CDC" w:rsidRDefault="00825666" w:rsidP="00F60E7C">
            <w:pPr>
              <w:contextualSpacing/>
              <w:jc w:val="center"/>
              <w:rPr>
                <w:rFonts w:ascii="Calibri" w:eastAsia="Times New Roman" w:hAnsi="Calibri" w:cs="Calibri"/>
                <w:color w:val="000000"/>
                <w:sz w:val="20"/>
                <w:szCs w:val="20"/>
              </w:rPr>
            </w:pPr>
            <w:r w:rsidRPr="00F11CDC">
              <w:rPr>
                <w:rFonts w:ascii="Calibri" w:eastAsia="Times New Roman" w:hAnsi="Calibri" w:cs="Calibri"/>
                <w:color w:val="000000"/>
                <w:sz w:val="20"/>
                <w:szCs w:val="20"/>
              </w:rPr>
              <w:t>7.00</w:t>
            </w:r>
          </w:p>
        </w:tc>
        <w:tc>
          <w:tcPr>
            <w:tcW w:w="1389" w:type="dxa"/>
            <w:vAlign w:val="bottom"/>
          </w:tcPr>
          <w:p w14:paraId="38231108" w14:textId="77777777" w:rsidR="00825666" w:rsidRPr="00F11CDC" w:rsidRDefault="00825666" w:rsidP="00F60E7C">
            <w:pPr>
              <w:contextualSpacing/>
              <w:jc w:val="center"/>
              <w:rPr>
                <w:rFonts w:ascii="Calibri" w:eastAsia="Times New Roman" w:hAnsi="Calibri" w:cs="Calibri"/>
                <w:color w:val="000000"/>
                <w:sz w:val="20"/>
                <w:szCs w:val="20"/>
              </w:rPr>
            </w:pPr>
            <w:r w:rsidRPr="00F11CDC">
              <w:rPr>
                <w:rFonts w:ascii="Calibri" w:eastAsia="Times New Roman" w:hAnsi="Calibri" w:cs="Calibri"/>
                <w:color w:val="000000"/>
                <w:sz w:val="20"/>
                <w:szCs w:val="20"/>
              </w:rPr>
              <w:t>76.21</w:t>
            </w:r>
          </w:p>
        </w:tc>
        <w:tc>
          <w:tcPr>
            <w:tcW w:w="1390" w:type="dxa"/>
            <w:vAlign w:val="bottom"/>
          </w:tcPr>
          <w:p w14:paraId="345137F3" w14:textId="77777777" w:rsidR="00825666" w:rsidRPr="00F11CDC" w:rsidRDefault="00825666" w:rsidP="00F60E7C">
            <w:pPr>
              <w:contextualSpacing/>
              <w:jc w:val="center"/>
              <w:rPr>
                <w:rFonts w:ascii="Calibri" w:eastAsia="Times New Roman" w:hAnsi="Calibri" w:cs="Calibri"/>
                <w:color w:val="000000"/>
                <w:sz w:val="20"/>
                <w:szCs w:val="20"/>
              </w:rPr>
            </w:pPr>
            <w:r w:rsidRPr="00F11CDC">
              <w:rPr>
                <w:rFonts w:ascii="Calibri" w:hAnsi="Calibri" w:cs="Calibri"/>
                <w:color w:val="000000"/>
                <w:sz w:val="20"/>
                <w:szCs w:val="20"/>
              </w:rPr>
              <w:t>75.57</w:t>
            </w:r>
          </w:p>
        </w:tc>
        <w:tc>
          <w:tcPr>
            <w:tcW w:w="1389" w:type="dxa"/>
            <w:vAlign w:val="bottom"/>
          </w:tcPr>
          <w:p w14:paraId="2ADC292A" w14:textId="77777777" w:rsidR="00825666" w:rsidRPr="00F11CDC" w:rsidRDefault="00825666" w:rsidP="00F60E7C">
            <w:pPr>
              <w:contextualSpacing/>
              <w:jc w:val="center"/>
              <w:rPr>
                <w:rFonts w:ascii="Calibri" w:eastAsia="Times New Roman" w:hAnsi="Calibri" w:cs="Calibri"/>
                <w:color w:val="000000"/>
                <w:sz w:val="20"/>
                <w:szCs w:val="20"/>
              </w:rPr>
            </w:pPr>
            <w:r w:rsidRPr="00F11CDC">
              <w:rPr>
                <w:rFonts w:ascii="Calibri" w:hAnsi="Calibri" w:cs="Calibri"/>
                <w:color w:val="000000"/>
                <w:sz w:val="20"/>
                <w:szCs w:val="20"/>
              </w:rPr>
              <w:t>76.60</w:t>
            </w:r>
          </w:p>
        </w:tc>
        <w:tc>
          <w:tcPr>
            <w:tcW w:w="1390" w:type="dxa"/>
            <w:vAlign w:val="bottom"/>
          </w:tcPr>
          <w:p w14:paraId="5B23F976" w14:textId="77777777" w:rsidR="00825666" w:rsidRPr="00F11CDC" w:rsidRDefault="00825666" w:rsidP="00F60E7C">
            <w:pPr>
              <w:contextualSpacing/>
              <w:jc w:val="center"/>
              <w:rPr>
                <w:rFonts w:ascii="Calibri" w:eastAsia="Times New Roman" w:hAnsi="Calibri" w:cs="Calibri"/>
                <w:color w:val="000000"/>
                <w:sz w:val="20"/>
                <w:szCs w:val="20"/>
              </w:rPr>
            </w:pPr>
            <w:r w:rsidRPr="00F11CDC">
              <w:rPr>
                <w:rFonts w:ascii="Calibri" w:eastAsia="Times New Roman" w:hAnsi="Calibri" w:cs="Calibri"/>
                <w:color w:val="000000"/>
                <w:sz w:val="20"/>
                <w:szCs w:val="20"/>
              </w:rPr>
              <w:t>62.47</w:t>
            </w:r>
          </w:p>
        </w:tc>
        <w:tc>
          <w:tcPr>
            <w:tcW w:w="1390" w:type="dxa"/>
            <w:vAlign w:val="bottom"/>
          </w:tcPr>
          <w:p w14:paraId="0E260F78" w14:textId="77777777" w:rsidR="00825666" w:rsidRPr="00F11CDC" w:rsidRDefault="00825666" w:rsidP="00F60E7C">
            <w:pPr>
              <w:contextualSpacing/>
              <w:jc w:val="center"/>
              <w:rPr>
                <w:rFonts w:ascii="Calibri" w:eastAsia="Times New Roman" w:hAnsi="Calibri" w:cs="Calibri"/>
                <w:color w:val="000000"/>
                <w:sz w:val="20"/>
                <w:szCs w:val="20"/>
              </w:rPr>
            </w:pPr>
            <w:r w:rsidRPr="00F11CDC">
              <w:rPr>
                <w:rFonts w:ascii="Calibri" w:eastAsia="Times New Roman" w:hAnsi="Calibri" w:cs="Calibri"/>
                <w:color w:val="000000"/>
                <w:sz w:val="20"/>
                <w:szCs w:val="20"/>
              </w:rPr>
              <w:t>89.24</w:t>
            </w:r>
          </w:p>
        </w:tc>
      </w:tr>
      <w:tr w:rsidR="00825666" w:rsidRPr="00F11CDC" w14:paraId="0EEDC958" w14:textId="77777777" w:rsidTr="00033521">
        <w:tc>
          <w:tcPr>
            <w:tcW w:w="2628" w:type="dxa"/>
            <w:vAlign w:val="bottom"/>
          </w:tcPr>
          <w:p w14:paraId="68326912" w14:textId="77777777" w:rsidR="00825666" w:rsidRPr="00F11CDC" w:rsidRDefault="00825666" w:rsidP="00F60E7C">
            <w:pPr>
              <w:contextualSpacing/>
              <w:jc w:val="center"/>
              <w:rPr>
                <w:rFonts w:ascii="Calibri" w:eastAsia="Times New Roman" w:hAnsi="Calibri" w:cs="Calibri"/>
                <w:color w:val="000000"/>
                <w:sz w:val="20"/>
                <w:szCs w:val="20"/>
              </w:rPr>
            </w:pPr>
            <w:r w:rsidRPr="00F11CDC">
              <w:rPr>
                <w:rFonts w:ascii="Calibri" w:eastAsia="Times New Roman" w:hAnsi="Calibri" w:cs="Calibri"/>
                <w:color w:val="000000"/>
                <w:sz w:val="20"/>
                <w:szCs w:val="20"/>
              </w:rPr>
              <w:t>6.75</w:t>
            </w:r>
          </w:p>
        </w:tc>
        <w:tc>
          <w:tcPr>
            <w:tcW w:w="1389" w:type="dxa"/>
            <w:vAlign w:val="bottom"/>
          </w:tcPr>
          <w:p w14:paraId="70F5D830" w14:textId="77777777" w:rsidR="00825666" w:rsidRPr="00F11CDC" w:rsidRDefault="00825666" w:rsidP="00F60E7C">
            <w:pPr>
              <w:contextualSpacing/>
              <w:jc w:val="center"/>
              <w:rPr>
                <w:rFonts w:ascii="Calibri" w:eastAsia="Times New Roman" w:hAnsi="Calibri" w:cs="Calibri"/>
                <w:color w:val="000000"/>
                <w:sz w:val="20"/>
                <w:szCs w:val="20"/>
              </w:rPr>
            </w:pPr>
            <w:r w:rsidRPr="00F11CDC">
              <w:rPr>
                <w:rFonts w:ascii="Calibri" w:eastAsia="Times New Roman" w:hAnsi="Calibri" w:cs="Calibri"/>
                <w:color w:val="000000"/>
                <w:sz w:val="20"/>
                <w:szCs w:val="20"/>
              </w:rPr>
              <w:t>74.02</w:t>
            </w:r>
          </w:p>
        </w:tc>
        <w:tc>
          <w:tcPr>
            <w:tcW w:w="1390" w:type="dxa"/>
            <w:vAlign w:val="bottom"/>
          </w:tcPr>
          <w:p w14:paraId="2273A4EC" w14:textId="77777777" w:rsidR="00825666" w:rsidRPr="00F11CDC" w:rsidRDefault="00825666" w:rsidP="00F60E7C">
            <w:pPr>
              <w:contextualSpacing/>
              <w:jc w:val="center"/>
              <w:rPr>
                <w:rFonts w:ascii="Calibri" w:eastAsia="Times New Roman" w:hAnsi="Calibri" w:cs="Calibri"/>
                <w:color w:val="000000"/>
                <w:sz w:val="20"/>
                <w:szCs w:val="20"/>
              </w:rPr>
            </w:pPr>
            <w:r w:rsidRPr="00F11CDC">
              <w:rPr>
                <w:rFonts w:ascii="Calibri" w:hAnsi="Calibri" w:cs="Calibri"/>
                <w:color w:val="000000"/>
                <w:sz w:val="20"/>
                <w:szCs w:val="20"/>
              </w:rPr>
              <w:t>73.24</w:t>
            </w:r>
          </w:p>
        </w:tc>
        <w:tc>
          <w:tcPr>
            <w:tcW w:w="1389" w:type="dxa"/>
            <w:vAlign w:val="bottom"/>
          </w:tcPr>
          <w:p w14:paraId="498AB266" w14:textId="77777777" w:rsidR="00825666" w:rsidRPr="00F11CDC" w:rsidRDefault="00825666" w:rsidP="00F60E7C">
            <w:pPr>
              <w:contextualSpacing/>
              <w:jc w:val="center"/>
              <w:rPr>
                <w:rFonts w:ascii="Calibri" w:eastAsia="Times New Roman" w:hAnsi="Calibri" w:cs="Calibri"/>
                <w:color w:val="000000"/>
                <w:sz w:val="20"/>
                <w:szCs w:val="20"/>
              </w:rPr>
            </w:pPr>
            <w:r w:rsidRPr="00F11CDC">
              <w:rPr>
                <w:rFonts w:ascii="Calibri" w:hAnsi="Calibri" w:cs="Calibri"/>
                <w:color w:val="000000"/>
                <w:sz w:val="20"/>
                <w:szCs w:val="20"/>
              </w:rPr>
              <w:t>74.50</w:t>
            </w:r>
          </w:p>
        </w:tc>
        <w:tc>
          <w:tcPr>
            <w:tcW w:w="1390" w:type="dxa"/>
            <w:vAlign w:val="bottom"/>
          </w:tcPr>
          <w:p w14:paraId="68EAC387" w14:textId="77777777" w:rsidR="00825666" w:rsidRPr="00F11CDC" w:rsidRDefault="00825666" w:rsidP="00F60E7C">
            <w:pPr>
              <w:contextualSpacing/>
              <w:jc w:val="center"/>
              <w:rPr>
                <w:rFonts w:ascii="Calibri" w:eastAsia="Times New Roman" w:hAnsi="Calibri" w:cs="Calibri"/>
                <w:color w:val="000000"/>
                <w:sz w:val="20"/>
                <w:szCs w:val="20"/>
              </w:rPr>
            </w:pPr>
            <w:r w:rsidRPr="00F11CDC">
              <w:rPr>
                <w:rFonts w:ascii="Calibri" w:eastAsia="Times New Roman" w:hAnsi="Calibri" w:cs="Calibri"/>
                <w:color w:val="000000"/>
                <w:sz w:val="20"/>
                <w:szCs w:val="20"/>
              </w:rPr>
              <w:t>60.68</w:t>
            </w:r>
          </w:p>
        </w:tc>
        <w:tc>
          <w:tcPr>
            <w:tcW w:w="1390" w:type="dxa"/>
            <w:vAlign w:val="bottom"/>
          </w:tcPr>
          <w:p w14:paraId="115BEF08" w14:textId="77777777" w:rsidR="00825666" w:rsidRPr="00F11CDC" w:rsidRDefault="00825666" w:rsidP="00F60E7C">
            <w:pPr>
              <w:contextualSpacing/>
              <w:jc w:val="center"/>
              <w:rPr>
                <w:rFonts w:ascii="Calibri" w:eastAsia="Times New Roman" w:hAnsi="Calibri" w:cs="Calibri"/>
                <w:color w:val="000000"/>
                <w:sz w:val="20"/>
                <w:szCs w:val="20"/>
              </w:rPr>
            </w:pPr>
            <w:r w:rsidRPr="00F11CDC">
              <w:rPr>
                <w:rFonts w:ascii="Calibri" w:eastAsia="Times New Roman" w:hAnsi="Calibri" w:cs="Calibri"/>
                <w:color w:val="000000"/>
                <w:sz w:val="20"/>
                <w:szCs w:val="20"/>
              </w:rPr>
              <w:t>86.68</w:t>
            </w:r>
          </w:p>
        </w:tc>
      </w:tr>
      <w:tr w:rsidR="00825666" w:rsidRPr="00F11CDC" w14:paraId="46B08111" w14:textId="77777777" w:rsidTr="00033521">
        <w:tc>
          <w:tcPr>
            <w:tcW w:w="2628" w:type="dxa"/>
            <w:vAlign w:val="bottom"/>
          </w:tcPr>
          <w:p w14:paraId="5351FABA" w14:textId="77777777" w:rsidR="00825666" w:rsidRPr="00F11CDC" w:rsidRDefault="00825666" w:rsidP="00F60E7C">
            <w:pPr>
              <w:contextualSpacing/>
              <w:jc w:val="center"/>
              <w:rPr>
                <w:rFonts w:ascii="Calibri" w:eastAsia="Times New Roman" w:hAnsi="Calibri" w:cs="Calibri"/>
                <w:color w:val="000000"/>
                <w:sz w:val="20"/>
                <w:szCs w:val="20"/>
              </w:rPr>
            </w:pPr>
            <w:r w:rsidRPr="00F11CDC">
              <w:rPr>
                <w:rFonts w:ascii="Calibri" w:eastAsia="Times New Roman" w:hAnsi="Calibri" w:cs="Calibri"/>
                <w:color w:val="000000"/>
                <w:sz w:val="20"/>
                <w:szCs w:val="20"/>
              </w:rPr>
              <w:t>6.50</w:t>
            </w:r>
          </w:p>
        </w:tc>
        <w:tc>
          <w:tcPr>
            <w:tcW w:w="1389" w:type="dxa"/>
            <w:vAlign w:val="bottom"/>
          </w:tcPr>
          <w:p w14:paraId="0B0C8F89" w14:textId="77777777" w:rsidR="00825666" w:rsidRPr="00F11CDC" w:rsidRDefault="00825666" w:rsidP="00F60E7C">
            <w:pPr>
              <w:contextualSpacing/>
              <w:jc w:val="center"/>
              <w:rPr>
                <w:rFonts w:ascii="Calibri" w:eastAsia="Times New Roman" w:hAnsi="Calibri" w:cs="Calibri"/>
                <w:color w:val="000000"/>
                <w:sz w:val="20"/>
                <w:szCs w:val="20"/>
              </w:rPr>
            </w:pPr>
            <w:r w:rsidRPr="00F11CDC">
              <w:rPr>
                <w:rFonts w:ascii="Calibri" w:eastAsia="Times New Roman" w:hAnsi="Calibri" w:cs="Calibri"/>
                <w:color w:val="000000"/>
                <w:sz w:val="20"/>
                <w:szCs w:val="20"/>
              </w:rPr>
              <w:t>71.88</w:t>
            </w:r>
          </w:p>
        </w:tc>
        <w:tc>
          <w:tcPr>
            <w:tcW w:w="1390" w:type="dxa"/>
            <w:vAlign w:val="bottom"/>
          </w:tcPr>
          <w:p w14:paraId="7BEB25B3" w14:textId="77777777" w:rsidR="00825666" w:rsidRPr="00F11CDC" w:rsidRDefault="00825666" w:rsidP="00F60E7C">
            <w:pPr>
              <w:contextualSpacing/>
              <w:jc w:val="center"/>
              <w:rPr>
                <w:rFonts w:ascii="Calibri" w:eastAsia="Times New Roman" w:hAnsi="Calibri" w:cs="Calibri"/>
                <w:color w:val="000000"/>
                <w:sz w:val="20"/>
                <w:szCs w:val="20"/>
              </w:rPr>
            </w:pPr>
            <w:r w:rsidRPr="00F11CDC">
              <w:rPr>
                <w:rFonts w:ascii="Calibri" w:hAnsi="Calibri" w:cs="Calibri"/>
                <w:color w:val="000000"/>
                <w:sz w:val="20"/>
                <w:szCs w:val="20"/>
              </w:rPr>
              <w:t>70.97</w:t>
            </w:r>
          </w:p>
        </w:tc>
        <w:tc>
          <w:tcPr>
            <w:tcW w:w="1389" w:type="dxa"/>
            <w:vAlign w:val="bottom"/>
          </w:tcPr>
          <w:p w14:paraId="0712474E" w14:textId="77777777" w:rsidR="00825666" w:rsidRPr="00F11CDC" w:rsidRDefault="00825666" w:rsidP="00F60E7C">
            <w:pPr>
              <w:contextualSpacing/>
              <w:jc w:val="center"/>
              <w:rPr>
                <w:rFonts w:ascii="Calibri" w:eastAsia="Times New Roman" w:hAnsi="Calibri" w:cs="Calibri"/>
                <w:color w:val="000000"/>
                <w:sz w:val="20"/>
                <w:szCs w:val="20"/>
              </w:rPr>
            </w:pPr>
            <w:r w:rsidRPr="00F11CDC">
              <w:rPr>
                <w:rFonts w:ascii="Calibri" w:hAnsi="Calibri" w:cs="Calibri"/>
                <w:color w:val="000000"/>
                <w:sz w:val="20"/>
                <w:szCs w:val="20"/>
              </w:rPr>
              <w:t>72.44</w:t>
            </w:r>
          </w:p>
        </w:tc>
        <w:tc>
          <w:tcPr>
            <w:tcW w:w="1390" w:type="dxa"/>
            <w:vAlign w:val="bottom"/>
          </w:tcPr>
          <w:p w14:paraId="634637CD" w14:textId="77777777" w:rsidR="00825666" w:rsidRPr="00F11CDC" w:rsidRDefault="00825666" w:rsidP="00F60E7C">
            <w:pPr>
              <w:contextualSpacing/>
              <w:jc w:val="center"/>
              <w:rPr>
                <w:rFonts w:ascii="Calibri" w:eastAsia="Times New Roman" w:hAnsi="Calibri" w:cs="Calibri"/>
                <w:color w:val="000000"/>
                <w:sz w:val="20"/>
                <w:szCs w:val="20"/>
              </w:rPr>
            </w:pPr>
            <w:r w:rsidRPr="00F11CDC">
              <w:rPr>
                <w:rFonts w:ascii="Calibri" w:eastAsia="Times New Roman" w:hAnsi="Calibri" w:cs="Calibri"/>
                <w:color w:val="000000"/>
                <w:sz w:val="20"/>
                <w:szCs w:val="20"/>
              </w:rPr>
              <w:t>58.92</w:t>
            </w:r>
          </w:p>
        </w:tc>
        <w:tc>
          <w:tcPr>
            <w:tcW w:w="1390" w:type="dxa"/>
            <w:vAlign w:val="bottom"/>
          </w:tcPr>
          <w:p w14:paraId="17D7A3B8" w14:textId="77777777" w:rsidR="00825666" w:rsidRPr="00F11CDC" w:rsidRDefault="00825666" w:rsidP="00F60E7C">
            <w:pPr>
              <w:contextualSpacing/>
              <w:jc w:val="center"/>
              <w:rPr>
                <w:rFonts w:ascii="Calibri" w:eastAsia="Times New Roman" w:hAnsi="Calibri" w:cs="Calibri"/>
                <w:color w:val="000000"/>
                <w:sz w:val="20"/>
                <w:szCs w:val="20"/>
              </w:rPr>
            </w:pPr>
            <w:r w:rsidRPr="00F11CDC">
              <w:rPr>
                <w:rFonts w:ascii="Calibri" w:eastAsia="Times New Roman" w:hAnsi="Calibri" w:cs="Calibri"/>
                <w:color w:val="000000"/>
                <w:sz w:val="20"/>
                <w:szCs w:val="20"/>
              </w:rPr>
              <w:t>84.17</w:t>
            </w:r>
          </w:p>
        </w:tc>
      </w:tr>
      <w:tr w:rsidR="00825666" w:rsidRPr="00F11CDC" w14:paraId="17C760A9" w14:textId="77777777" w:rsidTr="00033521">
        <w:tc>
          <w:tcPr>
            <w:tcW w:w="2628" w:type="dxa"/>
            <w:vAlign w:val="bottom"/>
          </w:tcPr>
          <w:p w14:paraId="7C543DFE" w14:textId="77777777" w:rsidR="00825666" w:rsidRPr="00F11CDC" w:rsidRDefault="00825666" w:rsidP="00F60E7C">
            <w:pPr>
              <w:contextualSpacing/>
              <w:jc w:val="center"/>
              <w:rPr>
                <w:rFonts w:ascii="Calibri" w:eastAsia="Times New Roman" w:hAnsi="Calibri" w:cs="Calibri"/>
                <w:color w:val="000000"/>
                <w:sz w:val="20"/>
                <w:szCs w:val="20"/>
              </w:rPr>
            </w:pPr>
            <w:r w:rsidRPr="00F11CDC">
              <w:rPr>
                <w:rFonts w:ascii="Calibri" w:eastAsia="Times New Roman" w:hAnsi="Calibri" w:cs="Calibri"/>
                <w:color w:val="000000"/>
                <w:sz w:val="20"/>
                <w:szCs w:val="20"/>
              </w:rPr>
              <w:t>6.25</w:t>
            </w:r>
          </w:p>
        </w:tc>
        <w:tc>
          <w:tcPr>
            <w:tcW w:w="1389" w:type="dxa"/>
            <w:vAlign w:val="bottom"/>
          </w:tcPr>
          <w:p w14:paraId="46DB2ACA" w14:textId="77777777" w:rsidR="00825666" w:rsidRPr="00F11CDC" w:rsidRDefault="00825666" w:rsidP="00F60E7C">
            <w:pPr>
              <w:contextualSpacing/>
              <w:jc w:val="center"/>
              <w:rPr>
                <w:rFonts w:ascii="Calibri" w:eastAsia="Times New Roman" w:hAnsi="Calibri" w:cs="Calibri"/>
                <w:color w:val="000000"/>
                <w:sz w:val="20"/>
                <w:szCs w:val="20"/>
              </w:rPr>
            </w:pPr>
            <w:r w:rsidRPr="00F11CDC">
              <w:rPr>
                <w:rFonts w:ascii="Calibri" w:eastAsia="Times New Roman" w:hAnsi="Calibri" w:cs="Calibri"/>
                <w:color w:val="000000"/>
                <w:sz w:val="20"/>
                <w:szCs w:val="20"/>
              </w:rPr>
              <w:t>69.78</w:t>
            </w:r>
          </w:p>
        </w:tc>
        <w:tc>
          <w:tcPr>
            <w:tcW w:w="1390" w:type="dxa"/>
            <w:vAlign w:val="bottom"/>
          </w:tcPr>
          <w:p w14:paraId="6105686A" w14:textId="77777777" w:rsidR="00825666" w:rsidRPr="00F11CDC" w:rsidRDefault="00825666" w:rsidP="00F60E7C">
            <w:pPr>
              <w:contextualSpacing/>
              <w:jc w:val="center"/>
              <w:rPr>
                <w:rFonts w:ascii="Calibri" w:eastAsia="Times New Roman" w:hAnsi="Calibri" w:cs="Calibri"/>
                <w:color w:val="000000"/>
                <w:sz w:val="20"/>
                <w:szCs w:val="20"/>
              </w:rPr>
            </w:pPr>
            <w:r w:rsidRPr="00F11CDC">
              <w:rPr>
                <w:rFonts w:ascii="Calibri" w:hAnsi="Calibri" w:cs="Calibri"/>
                <w:color w:val="000000"/>
                <w:sz w:val="20"/>
                <w:szCs w:val="20"/>
              </w:rPr>
              <w:t>68.75</w:t>
            </w:r>
          </w:p>
        </w:tc>
        <w:tc>
          <w:tcPr>
            <w:tcW w:w="1389" w:type="dxa"/>
            <w:vAlign w:val="bottom"/>
          </w:tcPr>
          <w:p w14:paraId="27838CF7" w14:textId="77777777" w:rsidR="00825666" w:rsidRPr="00F11CDC" w:rsidRDefault="00825666" w:rsidP="00F60E7C">
            <w:pPr>
              <w:contextualSpacing/>
              <w:jc w:val="center"/>
              <w:rPr>
                <w:rFonts w:ascii="Calibri" w:eastAsia="Times New Roman" w:hAnsi="Calibri" w:cs="Calibri"/>
                <w:color w:val="000000"/>
                <w:sz w:val="20"/>
                <w:szCs w:val="20"/>
              </w:rPr>
            </w:pPr>
            <w:r w:rsidRPr="00F11CDC">
              <w:rPr>
                <w:rFonts w:ascii="Calibri" w:hAnsi="Calibri" w:cs="Calibri"/>
                <w:color w:val="000000"/>
                <w:sz w:val="20"/>
                <w:szCs w:val="20"/>
              </w:rPr>
              <w:t>70.42</w:t>
            </w:r>
          </w:p>
        </w:tc>
        <w:tc>
          <w:tcPr>
            <w:tcW w:w="1390" w:type="dxa"/>
            <w:vAlign w:val="bottom"/>
          </w:tcPr>
          <w:p w14:paraId="7CC3AD21" w14:textId="77777777" w:rsidR="00825666" w:rsidRPr="00F11CDC" w:rsidRDefault="00825666" w:rsidP="00F60E7C">
            <w:pPr>
              <w:contextualSpacing/>
              <w:jc w:val="center"/>
              <w:rPr>
                <w:rFonts w:ascii="Calibri" w:eastAsia="Times New Roman" w:hAnsi="Calibri" w:cs="Calibri"/>
                <w:color w:val="000000"/>
                <w:sz w:val="20"/>
                <w:szCs w:val="20"/>
              </w:rPr>
            </w:pPr>
            <w:r w:rsidRPr="00F11CDC">
              <w:rPr>
                <w:rFonts w:ascii="Calibri" w:eastAsia="Times New Roman" w:hAnsi="Calibri" w:cs="Calibri"/>
                <w:color w:val="000000"/>
                <w:sz w:val="20"/>
                <w:szCs w:val="20"/>
              </w:rPr>
              <w:t>57.20</w:t>
            </w:r>
          </w:p>
        </w:tc>
        <w:tc>
          <w:tcPr>
            <w:tcW w:w="1390" w:type="dxa"/>
            <w:vAlign w:val="bottom"/>
          </w:tcPr>
          <w:p w14:paraId="79D5BD2D" w14:textId="77777777" w:rsidR="00825666" w:rsidRPr="00F11CDC" w:rsidRDefault="00825666" w:rsidP="00F60E7C">
            <w:pPr>
              <w:contextualSpacing/>
              <w:jc w:val="center"/>
              <w:rPr>
                <w:rFonts w:ascii="Calibri" w:eastAsia="Times New Roman" w:hAnsi="Calibri" w:cs="Calibri"/>
                <w:color w:val="000000"/>
                <w:sz w:val="20"/>
                <w:szCs w:val="20"/>
              </w:rPr>
            </w:pPr>
            <w:r w:rsidRPr="00F11CDC">
              <w:rPr>
                <w:rFonts w:ascii="Calibri" w:eastAsia="Times New Roman" w:hAnsi="Calibri" w:cs="Calibri"/>
                <w:color w:val="000000"/>
                <w:sz w:val="20"/>
                <w:szCs w:val="20"/>
              </w:rPr>
              <w:t>81.71</w:t>
            </w:r>
          </w:p>
        </w:tc>
      </w:tr>
      <w:tr w:rsidR="00825666" w:rsidRPr="00F11CDC" w14:paraId="3332CA34" w14:textId="77777777" w:rsidTr="00033521">
        <w:tc>
          <w:tcPr>
            <w:tcW w:w="2628" w:type="dxa"/>
            <w:vAlign w:val="bottom"/>
          </w:tcPr>
          <w:p w14:paraId="56D3E9DE" w14:textId="77777777" w:rsidR="00825666" w:rsidRPr="00F11CDC" w:rsidRDefault="00825666" w:rsidP="00F60E7C">
            <w:pPr>
              <w:contextualSpacing/>
              <w:jc w:val="center"/>
              <w:rPr>
                <w:rFonts w:ascii="Calibri" w:eastAsia="Times New Roman" w:hAnsi="Calibri" w:cs="Calibri"/>
                <w:color w:val="000000"/>
                <w:sz w:val="20"/>
                <w:szCs w:val="20"/>
              </w:rPr>
            </w:pPr>
            <w:r w:rsidRPr="00F11CDC">
              <w:rPr>
                <w:rFonts w:ascii="Calibri" w:eastAsia="Times New Roman" w:hAnsi="Calibri" w:cs="Calibri"/>
                <w:color w:val="000000"/>
                <w:sz w:val="20"/>
                <w:szCs w:val="20"/>
              </w:rPr>
              <w:t>6.00</w:t>
            </w:r>
          </w:p>
        </w:tc>
        <w:tc>
          <w:tcPr>
            <w:tcW w:w="1389" w:type="dxa"/>
            <w:vAlign w:val="bottom"/>
          </w:tcPr>
          <w:p w14:paraId="1ABFC583" w14:textId="77777777" w:rsidR="00825666" w:rsidRPr="00F11CDC" w:rsidRDefault="00825666" w:rsidP="00F60E7C">
            <w:pPr>
              <w:contextualSpacing/>
              <w:jc w:val="center"/>
              <w:rPr>
                <w:rFonts w:ascii="Calibri" w:eastAsia="Times New Roman" w:hAnsi="Calibri" w:cs="Calibri"/>
                <w:color w:val="000000"/>
                <w:sz w:val="20"/>
                <w:szCs w:val="20"/>
              </w:rPr>
            </w:pPr>
            <w:r w:rsidRPr="00F11CDC">
              <w:rPr>
                <w:rFonts w:ascii="Calibri" w:eastAsia="Times New Roman" w:hAnsi="Calibri" w:cs="Calibri"/>
                <w:color w:val="000000"/>
                <w:sz w:val="20"/>
                <w:szCs w:val="20"/>
              </w:rPr>
              <w:t>67.73</w:t>
            </w:r>
          </w:p>
        </w:tc>
        <w:tc>
          <w:tcPr>
            <w:tcW w:w="1390" w:type="dxa"/>
            <w:vAlign w:val="bottom"/>
          </w:tcPr>
          <w:p w14:paraId="4A090097" w14:textId="77777777" w:rsidR="00825666" w:rsidRPr="00F11CDC" w:rsidRDefault="00825666" w:rsidP="00F60E7C">
            <w:pPr>
              <w:contextualSpacing/>
              <w:jc w:val="center"/>
              <w:rPr>
                <w:rFonts w:ascii="Calibri" w:eastAsia="Times New Roman" w:hAnsi="Calibri" w:cs="Calibri"/>
                <w:color w:val="000000"/>
                <w:sz w:val="20"/>
                <w:szCs w:val="20"/>
              </w:rPr>
            </w:pPr>
            <w:r w:rsidRPr="00F11CDC">
              <w:rPr>
                <w:rFonts w:ascii="Calibri" w:hAnsi="Calibri" w:cs="Calibri"/>
                <w:color w:val="000000"/>
                <w:sz w:val="20"/>
                <w:szCs w:val="20"/>
              </w:rPr>
              <w:t>66.58</w:t>
            </w:r>
          </w:p>
        </w:tc>
        <w:tc>
          <w:tcPr>
            <w:tcW w:w="1389" w:type="dxa"/>
            <w:vAlign w:val="bottom"/>
          </w:tcPr>
          <w:p w14:paraId="56687E11" w14:textId="77777777" w:rsidR="00825666" w:rsidRPr="00F11CDC" w:rsidRDefault="00825666" w:rsidP="00F60E7C">
            <w:pPr>
              <w:contextualSpacing/>
              <w:jc w:val="center"/>
              <w:rPr>
                <w:rFonts w:ascii="Calibri" w:eastAsia="Times New Roman" w:hAnsi="Calibri" w:cs="Calibri"/>
                <w:color w:val="000000"/>
                <w:sz w:val="20"/>
                <w:szCs w:val="20"/>
              </w:rPr>
            </w:pPr>
            <w:r w:rsidRPr="00F11CDC">
              <w:rPr>
                <w:rFonts w:ascii="Calibri" w:hAnsi="Calibri" w:cs="Calibri"/>
                <w:color w:val="000000"/>
                <w:sz w:val="20"/>
                <w:szCs w:val="20"/>
              </w:rPr>
              <w:t>68.43</w:t>
            </w:r>
          </w:p>
        </w:tc>
        <w:tc>
          <w:tcPr>
            <w:tcW w:w="1390" w:type="dxa"/>
            <w:vAlign w:val="bottom"/>
          </w:tcPr>
          <w:p w14:paraId="01B92A85" w14:textId="77777777" w:rsidR="00825666" w:rsidRPr="00F11CDC" w:rsidRDefault="00825666" w:rsidP="00F60E7C">
            <w:pPr>
              <w:contextualSpacing/>
              <w:jc w:val="center"/>
              <w:rPr>
                <w:rFonts w:ascii="Calibri" w:eastAsia="Times New Roman" w:hAnsi="Calibri" w:cs="Calibri"/>
                <w:color w:val="000000"/>
                <w:sz w:val="20"/>
                <w:szCs w:val="20"/>
              </w:rPr>
            </w:pPr>
            <w:r w:rsidRPr="00F11CDC">
              <w:rPr>
                <w:rFonts w:ascii="Calibri" w:eastAsia="Times New Roman" w:hAnsi="Calibri" w:cs="Calibri"/>
                <w:color w:val="000000"/>
                <w:sz w:val="20"/>
                <w:szCs w:val="20"/>
              </w:rPr>
              <w:t>55.51</w:t>
            </w:r>
          </w:p>
        </w:tc>
        <w:tc>
          <w:tcPr>
            <w:tcW w:w="1390" w:type="dxa"/>
            <w:vAlign w:val="bottom"/>
          </w:tcPr>
          <w:p w14:paraId="37A0E9B6" w14:textId="77777777" w:rsidR="00825666" w:rsidRPr="00F11CDC" w:rsidRDefault="00825666" w:rsidP="00F60E7C">
            <w:pPr>
              <w:contextualSpacing/>
              <w:jc w:val="center"/>
              <w:rPr>
                <w:rFonts w:ascii="Calibri" w:eastAsia="Times New Roman" w:hAnsi="Calibri" w:cs="Calibri"/>
                <w:color w:val="000000"/>
                <w:sz w:val="20"/>
                <w:szCs w:val="20"/>
              </w:rPr>
            </w:pPr>
            <w:r w:rsidRPr="00F11CDC">
              <w:rPr>
                <w:rFonts w:ascii="Calibri" w:eastAsia="Times New Roman" w:hAnsi="Calibri" w:cs="Calibri"/>
                <w:color w:val="000000"/>
                <w:sz w:val="20"/>
                <w:szCs w:val="20"/>
              </w:rPr>
              <w:t>79.30</w:t>
            </w:r>
          </w:p>
        </w:tc>
      </w:tr>
      <w:tr w:rsidR="00825666" w:rsidRPr="00F11CDC" w14:paraId="0F8DA88B" w14:textId="77777777" w:rsidTr="00033521">
        <w:tc>
          <w:tcPr>
            <w:tcW w:w="2628" w:type="dxa"/>
            <w:vAlign w:val="bottom"/>
          </w:tcPr>
          <w:p w14:paraId="3E840AA0" w14:textId="19B7EC5E" w:rsidR="00825666" w:rsidRPr="00F11CDC" w:rsidRDefault="00825666" w:rsidP="00F60E7C">
            <w:pPr>
              <w:contextualSpacing/>
              <w:jc w:val="center"/>
              <w:rPr>
                <w:rFonts w:ascii="Calibri" w:eastAsia="Times New Roman" w:hAnsi="Calibri" w:cs="Calibri"/>
                <w:color w:val="000000"/>
                <w:sz w:val="20"/>
                <w:szCs w:val="20"/>
              </w:rPr>
            </w:pPr>
            <w:r w:rsidRPr="00F11CDC">
              <w:rPr>
                <w:rFonts w:ascii="Calibri" w:eastAsia="Times New Roman" w:hAnsi="Calibri" w:cs="Calibri"/>
                <w:color w:val="000000"/>
                <w:sz w:val="20"/>
                <w:szCs w:val="20"/>
              </w:rPr>
              <w:t>Average effect of 1</w:t>
            </w:r>
            <w:r w:rsidR="00AF599B">
              <w:rPr>
                <w:rFonts w:ascii="Calibri" w:eastAsia="Times New Roman" w:hAnsi="Calibri" w:cs="Calibri"/>
                <w:color w:val="000000"/>
                <w:sz w:val="20"/>
                <w:szCs w:val="20"/>
              </w:rPr>
              <w:t>%</w:t>
            </w:r>
            <w:r w:rsidRPr="00F11CDC">
              <w:rPr>
                <w:rFonts w:ascii="Calibri" w:eastAsia="Times New Roman" w:hAnsi="Calibri" w:cs="Calibri"/>
                <w:color w:val="000000"/>
                <w:sz w:val="20"/>
                <w:szCs w:val="20"/>
              </w:rPr>
              <w:t xml:space="preserve"> increase</w:t>
            </w:r>
          </w:p>
        </w:tc>
        <w:tc>
          <w:tcPr>
            <w:tcW w:w="1389" w:type="dxa"/>
            <w:vAlign w:val="bottom"/>
          </w:tcPr>
          <w:p w14:paraId="6A987EE1" w14:textId="77777777" w:rsidR="00825666" w:rsidRPr="00F11CDC" w:rsidRDefault="00825666" w:rsidP="00F60E7C">
            <w:pPr>
              <w:contextualSpacing/>
              <w:jc w:val="center"/>
              <w:rPr>
                <w:rFonts w:ascii="Calibri" w:eastAsia="Times New Roman" w:hAnsi="Calibri" w:cs="Calibri"/>
                <w:color w:val="000000"/>
                <w:sz w:val="20"/>
                <w:szCs w:val="20"/>
              </w:rPr>
            </w:pPr>
            <w:r w:rsidRPr="00F11CDC">
              <w:rPr>
                <w:rFonts w:ascii="Calibri" w:eastAsia="Times New Roman" w:hAnsi="Calibri" w:cs="Calibri"/>
                <w:color w:val="000000"/>
                <w:sz w:val="20"/>
                <w:szCs w:val="20"/>
              </w:rPr>
              <w:t>9.11</w:t>
            </w:r>
          </w:p>
        </w:tc>
        <w:tc>
          <w:tcPr>
            <w:tcW w:w="1390" w:type="dxa"/>
            <w:vAlign w:val="bottom"/>
          </w:tcPr>
          <w:p w14:paraId="77486702" w14:textId="77777777" w:rsidR="00825666" w:rsidRPr="00F11CDC" w:rsidRDefault="00825666" w:rsidP="00F60E7C">
            <w:pPr>
              <w:contextualSpacing/>
              <w:jc w:val="center"/>
              <w:rPr>
                <w:rFonts w:ascii="Calibri" w:eastAsia="Times New Roman" w:hAnsi="Calibri" w:cs="Calibri"/>
                <w:sz w:val="20"/>
                <w:szCs w:val="20"/>
              </w:rPr>
            </w:pPr>
            <w:r w:rsidRPr="00F11CDC">
              <w:rPr>
                <w:rFonts w:ascii="Calibri" w:hAnsi="Calibri" w:cs="Calibri"/>
                <w:sz w:val="20"/>
                <w:szCs w:val="20"/>
              </w:rPr>
              <w:t>9.73</w:t>
            </w:r>
          </w:p>
        </w:tc>
        <w:tc>
          <w:tcPr>
            <w:tcW w:w="1389" w:type="dxa"/>
            <w:vAlign w:val="bottom"/>
          </w:tcPr>
          <w:p w14:paraId="2FA4BFCC" w14:textId="77777777" w:rsidR="00825666" w:rsidRPr="00F11CDC" w:rsidRDefault="00825666" w:rsidP="00F60E7C">
            <w:pPr>
              <w:contextualSpacing/>
              <w:jc w:val="center"/>
              <w:rPr>
                <w:rFonts w:ascii="Calibri" w:eastAsia="Times New Roman" w:hAnsi="Calibri" w:cs="Calibri"/>
                <w:sz w:val="20"/>
                <w:szCs w:val="20"/>
              </w:rPr>
            </w:pPr>
            <w:r w:rsidRPr="00F11CDC">
              <w:rPr>
                <w:rFonts w:ascii="Calibri" w:hAnsi="Calibri" w:cs="Calibri"/>
                <w:sz w:val="20"/>
                <w:szCs w:val="20"/>
              </w:rPr>
              <w:t>8.72</w:t>
            </w:r>
          </w:p>
        </w:tc>
        <w:tc>
          <w:tcPr>
            <w:tcW w:w="1390" w:type="dxa"/>
            <w:vAlign w:val="bottom"/>
          </w:tcPr>
          <w:p w14:paraId="5E5EC98D" w14:textId="77777777" w:rsidR="00825666" w:rsidRPr="00F11CDC" w:rsidRDefault="00825666" w:rsidP="00F60E7C">
            <w:pPr>
              <w:contextualSpacing/>
              <w:jc w:val="center"/>
              <w:rPr>
                <w:rFonts w:ascii="Calibri" w:eastAsia="Times New Roman" w:hAnsi="Calibri" w:cs="Calibri"/>
                <w:sz w:val="20"/>
                <w:szCs w:val="20"/>
              </w:rPr>
            </w:pPr>
            <w:r w:rsidRPr="00F11CDC">
              <w:rPr>
                <w:rFonts w:ascii="Calibri" w:eastAsia="Times New Roman" w:hAnsi="Calibri" w:cs="Calibri"/>
                <w:sz w:val="20"/>
                <w:szCs w:val="20"/>
              </w:rPr>
              <w:t>7.46</w:t>
            </w:r>
          </w:p>
        </w:tc>
        <w:tc>
          <w:tcPr>
            <w:tcW w:w="1390" w:type="dxa"/>
            <w:vAlign w:val="bottom"/>
          </w:tcPr>
          <w:p w14:paraId="75671B42" w14:textId="77777777" w:rsidR="00825666" w:rsidRPr="00F11CDC" w:rsidRDefault="00825666" w:rsidP="00F60E7C">
            <w:pPr>
              <w:contextualSpacing/>
              <w:jc w:val="center"/>
              <w:rPr>
                <w:rFonts w:ascii="Calibri" w:eastAsia="Times New Roman" w:hAnsi="Calibri" w:cs="Calibri"/>
                <w:sz w:val="20"/>
                <w:szCs w:val="20"/>
              </w:rPr>
            </w:pPr>
            <w:r w:rsidRPr="00F11CDC">
              <w:rPr>
                <w:rFonts w:ascii="Calibri" w:eastAsia="Times New Roman" w:hAnsi="Calibri" w:cs="Calibri"/>
                <w:sz w:val="20"/>
                <w:szCs w:val="20"/>
              </w:rPr>
              <w:t>10.66</w:t>
            </w:r>
          </w:p>
        </w:tc>
      </w:tr>
      <w:tr w:rsidR="00825666" w:rsidRPr="00F11CDC" w14:paraId="48C99899" w14:textId="77777777" w:rsidTr="00033521">
        <w:tc>
          <w:tcPr>
            <w:tcW w:w="9576" w:type="dxa"/>
            <w:gridSpan w:val="6"/>
            <w:vAlign w:val="bottom"/>
          </w:tcPr>
          <w:p w14:paraId="48878FD2" w14:textId="77777777" w:rsidR="00825666" w:rsidRPr="00F11CDC" w:rsidRDefault="00825666" w:rsidP="00F60E7C">
            <w:pPr>
              <w:contextualSpacing/>
              <w:rPr>
                <w:rFonts w:ascii="Calibri" w:eastAsia="Times New Roman" w:hAnsi="Calibri" w:cs="Calibri"/>
                <w:b/>
                <w:color w:val="000000"/>
                <w:sz w:val="20"/>
                <w:szCs w:val="20"/>
              </w:rPr>
            </w:pPr>
          </w:p>
          <w:p w14:paraId="13A55564" w14:textId="77777777" w:rsidR="00825666" w:rsidRPr="00F11CDC" w:rsidRDefault="00825666" w:rsidP="00F60E7C">
            <w:pPr>
              <w:contextualSpacing/>
              <w:rPr>
                <w:rFonts w:ascii="Calibri" w:eastAsia="Times New Roman" w:hAnsi="Calibri" w:cs="Calibri"/>
                <w:b/>
                <w:sz w:val="20"/>
                <w:szCs w:val="20"/>
              </w:rPr>
            </w:pPr>
            <w:r w:rsidRPr="00F11CDC">
              <w:rPr>
                <w:rFonts w:ascii="Calibri" w:eastAsia="Times New Roman" w:hAnsi="Calibri" w:cs="Calibri"/>
                <w:b/>
                <w:color w:val="000000"/>
                <w:sz w:val="20"/>
                <w:szCs w:val="20"/>
              </w:rPr>
              <w:t>Panel B: Salary Growth Rate Assumption (median observed value is 5.68</w:t>
            </w:r>
            <w:r>
              <w:rPr>
                <w:rFonts w:ascii="Calibri" w:eastAsia="Times New Roman" w:hAnsi="Calibri" w:cs="Calibri"/>
                <w:b/>
                <w:color w:val="000000"/>
                <w:sz w:val="20"/>
                <w:szCs w:val="20"/>
              </w:rPr>
              <w:t>%</w:t>
            </w:r>
            <w:r w:rsidRPr="00F11CDC">
              <w:rPr>
                <w:rFonts w:ascii="Calibri" w:eastAsia="Times New Roman" w:hAnsi="Calibri" w:cs="Calibri"/>
                <w:b/>
                <w:color w:val="000000"/>
                <w:sz w:val="20"/>
                <w:szCs w:val="20"/>
              </w:rPr>
              <w:t>)</w:t>
            </w:r>
          </w:p>
        </w:tc>
      </w:tr>
      <w:tr w:rsidR="00825666" w:rsidRPr="00F11CDC" w14:paraId="7027B7AC" w14:textId="77777777" w:rsidTr="00033521">
        <w:tc>
          <w:tcPr>
            <w:tcW w:w="2628" w:type="dxa"/>
            <w:vAlign w:val="bottom"/>
          </w:tcPr>
          <w:p w14:paraId="78EFF30E" w14:textId="77777777" w:rsidR="00825666" w:rsidRPr="00F11CDC" w:rsidRDefault="00825666" w:rsidP="00F60E7C">
            <w:pPr>
              <w:contextualSpacing/>
              <w:jc w:val="center"/>
              <w:rPr>
                <w:rFonts w:ascii="Calibri" w:eastAsia="Times New Roman" w:hAnsi="Calibri" w:cs="Calibri"/>
                <w:color w:val="000000"/>
                <w:sz w:val="20"/>
                <w:szCs w:val="20"/>
              </w:rPr>
            </w:pPr>
            <w:r w:rsidRPr="00F11CDC">
              <w:rPr>
                <w:rFonts w:ascii="Calibri" w:eastAsia="Times New Roman" w:hAnsi="Calibri" w:cs="Calibri"/>
                <w:color w:val="000000"/>
                <w:sz w:val="20"/>
                <w:szCs w:val="20"/>
              </w:rPr>
              <w:t>8.00</w:t>
            </w:r>
          </w:p>
        </w:tc>
        <w:tc>
          <w:tcPr>
            <w:tcW w:w="1389" w:type="dxa"/>
            <w:vAlign w:val="bottom"/>
          </w:tcPr>
          <w:p w14:paraId="284C593F" w14:textId="77777777" w:rsidR="00825666" w:rsidRPr="00F11CDC" w:rsidRDefault="00825666" w:rsidP="00F60E7C">
            <w:pPr>
              <w:contextualSpacing/>
              <w:jc w:val="center"/>
              <w:rPr>
                <w:rFonts w:ascii="Calibri" w:eastAsia="Times New Roman" w:hAnsi="Calibri" w:cs="Calibri"/>
                <w:color w:val="000000"/>
                <w:sz w:val="20"/>
                <w:szCs w:val="20"/>
              </w:rPr>
            </w:pPr>
            <w:r w:rsidRPr="00F11CDC">
              <w:rPr>
                <w:rFonts w:ascii="Calibri" w:eastAsia="Times New Roman" w:hAnsi="Calibri" w:cs="Calibri"/>
                <w:color w:val="000000"/>
                <w:sz w:val="20"/>
                <w:szCs w:val="20"/>
              </w:rPr>
              <w:t>83.75</w:t>
            </w:r>
          </w:p>
        </w:tc>
        <w:tc>
          <w:tcPr>
            <w:tcW w:w="1390" w:type="dxa"/>
            <w:vAlign w:val="bottom"/>
          </w:tcPr>
          <w:p w14:paraId="140894CA" w14:textId="77777777" w:rsidR="00825666" w:rsidRPr="00F11CDC" w:rsidRDefault="00825666" w:rsidP="00F60E7C">
            <w:pPr>
              <w:contextualSpacing/>
              <w:jc w:val="center"/>
              <w:rPr>
                <w:rFonts w:ascii="Calibri" w:eastAsia="Times New Roman" w:hAnsi="Calibri" w:cs="Calibri"/>
                <w:sz w:val="20"/>
                <w:szCs w:val="20"/>
              </w:rPr>
            </w:pPr>
            <w:r w:rsidRPr="00F11CDC">
              <w:rPr>
                <w:rFonts w:ascii="Calibri" w:hAnsi="Calibri" w:cs="Calibri"/>
                <w:sz w:val="20"/>
                <w:szCs w:val="20"/>
              </w:rPr>
              <w:t>88.61</w:t>
            </w:r>
          </w:p>
        </w:tc>
        <w:tc>
          <w:tcPr>
            <w:tcW w:w="1389" w:type="dxa"/>
            <w:vAlign w:val="bottom"/>
          </w:tcPr>
          <w:p w14:paraId="2840C720" w14:textId="77777777" w:rsidR="00825666" w:rsidRPr="00F11CDC" w:rsidRDefault="00825666" w:rsidP="00F60E7C">
            <w:pPr>
              <w:contextualSpacing/>
              <w:jc w:val="center"/>
              <w:rPr>
                <w:rFonts w:ascii="Calibri" w:eastAsia="Times New Roman" w:hAnsi="Calibri" w:cs="Calibri"/>
                <w:sz w:val="20"/>
                <w:szCs w:val="20"/>
              </w:rPr>
            </w:pPr>
            <w:r w:rsidRPr="00F11CDC">
              <w:rPr>
                <w:rFonts w:ascii="Calibri" w:hAnsi="Calibri" w:cs="Calibri"/>
                <w:sz w:val="20"/>
                <w:szCs w:val="20"/>
              </w:rPr>
              <w:t>81.07</w:t>
            </w:r>
          </w:p>
        </w:tc>
        <w:tc>
          <w:tcPr>
            <w:tcW w:w="1390" w:type="dxa"/>
            <w:vAlign w:val="bottom"/>
          </w:tcPr>
          <w:p w14:paraId="5823E3E0" w14:textId="77777777" w:rsidR="00825666" w:rsidRPr="00F11CDC" w:rsidRDefault="00825666" w:rsidP="00F60E7C">
            <w:pPr>
              <w:contextualSpacing/>
              <w:jc w:val="center"/>
              <w:rPr>
                <w:rFonts w:ascii="Calibri" w:eastAsia="Times New Roman" w:hAnsi="Calibri" w:cs="Calibri"/>
                <w:sz w:val="20"/>
                <w:szCs w:val="20"/>
              </w:rPr>
            </w:pPr>
            <w:r w:rsidRPr="00F11CDC">
              <w:rPr>
                <w:rFonts w:ascii="Calibri" w:eastAsia="Times New Roman" w:hAnsi="Calibri" w:cs="Calibri"/>
                <w:sz w:val="20"/>
                <w:szCs w:val="20"/>
              </w:rPr>
              <w:t>68.64</w:t>
            </w:r>
          </w:p>
        </w:tc>
        <w:tc>
          <w:tcPr>
            <w:tcW w:w="1390" w:type="dxa"/>
            <w:vAlign w:val="bottom"/>
          </w:tcPr>
          <w:p w14:paraId="73E9ECA0" w14:textId="77777777" w:rsidR="00825666" w:rsidRPr="00F11CDC" w:rsidRDefault="00825666" w:rsidP="00F60E7C">
            <w:pPr>
              <w:contextualSpacing/>
              <w:jc w:val="center"/>
              <w:rPr>
                <w:rFonts w:ascii="Calibri" w:eastAsia="Times New Roman" w:hAnsi="Calibri" w:cs="Calibri"/>
                <w:sz w:val="20"/>
                <w:szCs w:val="20"/>
              </w:rPr>
            </w:pPr>
            <w:r w:rsidRPr="00F11CDC">
              <w:rPr>
                <w:rFonts w:ascii="Calibri" w:eastAsia="Times New Roman" w:hAnsi="Calibri" w:cs="Calibri"/>
                <w:sz w:val="20"/>
                <w:szCs w:val="20"/>
              </w:rPr>
              <w:t>98.06</w:t>
            </w:r>
          </w:p>
        </w:tc>
      </w:tr>
      <w:tr w:rsidR="00825666" w:rsidRPr="00F11CDC" w14:paraId="6551A3DD" w14:textId="77777777" w:rsidTr="00033521">
        <w:tc>
          <w:tcPr>
            <w:tcW w:w="2628" w:type="dxa"/>
            <w:vAlign w:val="bottom"/>
          </w:tcPr>
          <w:p w14:paraId="3EBE43EF" w14:textId="77777777" w:rsidR="00825666" w:rsidRPr="00F11CDC" w:rsidRDefault="00825666" w:rsidP="00F60E7C">
            <w:pPr>
              <w:contextualSpacing/>
              <w:jc w:val="center"/>
              <w:rPr>
                <w:rFonts w:ascii="Calibri" w:eastAsia="Times New Roman" w:hAnsi="Calibri" w:cs="Calibri"/>
                <w:color w:val="000000"/>
                <w:sz w:val="20"/>
                <w:szCs w:val="20"/>
              </w:rPr>
            </w:pPr>
            <w:r w:rsidRPr="00F11CDC">
              <w:rPr>
                <w:rFonts w:ascii="Calibri" w:eastAsia="Times New Roman" w:hAnsi="Calibri" w:cs="Calibri"/>
                <w:color w:val="000000"/>
                <w:sz w:val="20"/>
                <w:szCs w:val="20"/>
              </w:rPr>
              <w:t>7.50</w:t>
            </w:r>
          </w:p>
        </w:tc>
        <w:tc>
          <w:tcPr>
            <w:tcW w:w="1389" w:type="dxa"/>
            <w:vAlign w:val="bottom"/>
          </w:tcPr>
          <w:p w14:paraId="24410ACE" w14:textId="77777777" w:rsidR="00825666" w:rsidRPr="00F11CDC" w:rsidRDefault="00825666" w:rsidP="00F60E7C">
            <w:pPr>
              <w:contextualSpacing/>
              <w:jc w:val="center"/>
              <w:rPr>
                <w:rFonts w:ascii="Calibri" w:eastAsia="Times New Roman" w:hAnsi="Calibri" w:cs="Calibri"/>
                <w:color w:val="000000"/>
                <w:sz w:val="20"/>
                <w:szCs w:val="20"/>
              </w:rPr>
            </w:pPr>
            <w:r w:rsidRPr="00F11CDC">
              <w:rPr>
                <w:rFonts w:ascii="Calibri" w:eastAsia="Times New Roman" w:hAnsi="Calibri" w:cs="Calibri"/>
                <w:color w:val="000000"/>
                <w:sz w:val="20"/>
                <w:szCs w:val="20"/>
              </w:rPr>
              <w:t>83.52</w:t>
            </w:r>
          </w:p>
        </w:tc>
        <w:tc>
          <w:tcPr>
            <w:tcW w:w="1390" w:type="dxa"/>
            <w:vAlign w:val="bottom"/>
          </w:tcPr>
          <w:p w14:paraId="6E4858A6" w14:textId="77777777" w:rsidR="00825666" w:rsidRPr="00F11CDC" w:rsidRDefault="00825666" w:rsidP="00F60E7C">
            <w:pPr>
              <w:contextualSpacing/>
              <w:jc w:val="center"/>
              <w:rPr>
                <w:rFonts w:ascii="Calibri" w:eastAsia="Times New Roman" w:hAnsi="Calibri" w:cs="Calibri"/>
                <w:sz w:val="20"/>
                <w:szCs w:val="20"/>
              </w:rPr>
            </w:pPr>
            <w:r w:rsidRPr="00F11CDC">
              <w:rPr>
                <w:rFonts w:ascii="Calibri" w:hAnsi="Calibri" w:cs="Calibri"/>
                <w:sz w:val="20"/>
                <w:szCs w:val="20"/>
              </w:rPr>
              <w:t>86.86</w:t>
            </w:r>
          </w:p>
        </w:tc>
        <w:tc>
          <w:tcPr>
            <w:tcW w:w="1389" w:type="dxa"/>
            <w:vAlign w:val="bottom"/>
          </w:tcPr>
          <w:p w14:paraId="687DD402" w14:textId="77777777" w:rsidR="00825666" w:rsidRPr="00F11CDC" w:rsidRDefault="00825666" w:rsidP="00F60E7C">
            <w:pPr>
              <w:contextualSpacing/>
              <w:jc w:val="center"/>
              <w:rPr>
                <w:rFonts w:ascii="Calibri" w:eastAsia="Times New Roman" w:hAnsi="Calibri" w:cs="Calibri"/>
                <w:sz w:val="20"/>
                <w:szCs w:val="20"/>
              </w:rPr>
            </w:pPr>
            <w:r w:rsidRPr="00F11CDC">
              <w:rPr>
                <w:rFonts w:ascii="Calibri" w:hAnsi="Calibri" w:cs="Calibri"/>
                <w:sz w:val="20"/>
                <w:szCs w:val="20"/>
              </w:rPr>
              <w:t>81.63</w:t>
            </w:r>
          </w:p>
        </w:tc>
        <w:tc>
          <w:tcPr>
            <w:tcW w:w="1390" w:type="dxa"/>
            <w:vAlign w:val="bottom"/>
          </w:tcPr>
          <w:p w14:paraId="3E3B4CBC" w14:textId="77777777" w:rsidR="00825666" w:rsidRPr="00F11CDC" w:rsidRDefault="00825666" w:rsidP="00F60E7C">
            <w:pPr>
              <w:contextualSpacing/>
              <w:jc w:val="center"/>
              <w:rPr>
                <w:rFonts w:ascii="Calibri" w:eastAsia="Times New Roman" w:hAnsi="Calibri" w:cs="Calibri"/>
                <w:sz w:val="20"/>
                <w:szCs w:val="20"/>
              </w:rPr>
            </w:pPr>
            <w:r w:rsidRPr="00F11CDC">
              <w:rPr>
                <w:rFonts w:ascii="Calibri" w:eastAsia="Times New Roman" w:hAnsi="Calibri" w:cs="Calibri"/>
                <w:sz w:val="20"/>
                <w:szCs w:val="20"/>
              </w:rPr>
              <w:t>68.46</w:t>
            </w:r>
          </w:p>
        </w:tc>
        <w:tc>
          <w:tcPr>
            <w:tcW w:w="1390" w:type="dxa"/>
            <w:vAlign w:val="bottom"/>
          </w:tcPr>
          <w:p w14:paraId="03FB9361" w14:textId="77777777" w:rsidR="00825666" w:rsidRPr="00F11CDC" w:rsidRDefault="00825666" w:rsidP="00F60E7C">
            <w:pPr>
              <w:contextualSpacing/>
              <w:jc w:val="center"/>
              <w:rPr>
                <w:rFonts w:ascii="Calibri" w:eastAsia="Times New Roman" w:hAnsi="Calibri" w:cs="Calibri"/>
                <w:sz w:val="20"/>
                <w:szCs w:val="20"/>
              </w:rPr>
            </w:pPr>
            <w:r w:rsidRPr="00F11CDC">
              <w:rPr>
                <w:rFonts w:ascii="Calibri" w:eastAsia="Times New Roman" w:hAnsi="Calibri" w:cs="Calibri"/>
                <w:sz w:val="20"/>
                <w:szCs w:val="20"/>
              </w:rPr>
              <w:t>97.80</w:t>
            </w:r>
          </w:p>
        </w:tc>
      </w:tr>
      <w:tr w:rsidR="00825666" w:rsidRPr="00F11CDC" w14:paraId="1BC76E57" w14:textId="77777777" w:rsidTr="00033521">
        <w:tc>
          <w:tcPr>
            <w:tcW w:w="2628" w:type="dxa"/>
            <w:vAlign w:val="bottom"/>
          </w:tcPr>
          <w:p w14:paraId="080834E6" w14:textId="77777777" w:rsidR="00825666" w:rsidRPr="00F11CDC" w:rsidRDefault="00825666" w:rsidP="00F60E7C">
            <w:pPr>
              <w:contextualSpacing/>
              <w:jc w:val="center"/>
              <w:rPr>
                <w:rFonts w:ascii="Calibri" w:eastAsia="Times New Roman" w:hAnsi="Calibri" w:cs="Calibri"/>
                <w:color w:val="000000"/>
                <w:sz w:val="20"/>
                <w:szCs w:val="20"/>
              </w:rPr>
            </w:pPr>
            <w:r w:rsidRPr="00F11CDC">
              <w:rPr>
                <w:rFonts w:ascii="Calibri" w:eastAsia="Times New Roman" w:hAnsi="Calibri" w:cs="Calibri"/>
                <w:color w:val="000000"/>
                <w:sz w:val="20"/>
                <w:szCs w:val="20"/>
              </w:rPr>
              <w:t>7.00</w:t>
            </w:r>
          </w:p>
        </w:tc>
        <w:tc>
          <w:tcPr>
            <w:tcW w:w="1389" w:type="dxa"/>
            <w:vAlign w:val="bottom"/>
          </w:tcPr>
          <w:p w14:paraId="3DE20657" w14:textId="77777777" w:rsidR="00825666" w:rsidRPr="00F11CDC" w:rsidRDefault="00825666" w:rsidP="00F60E7C">
            <w:pPr>
              <w:contextualSpacing/>
              <w:jc w:val="center"/>
              <w:rPr>
                <w:rFonts w:ascii="Calibri" w:eastAsia="Times New Roman" w:hAnsi="Calibri" w:cs="Calibri"/>
                <w:color w:val="000000"/>
                <w:sz w:val="20"/>
                <w:szCs w:val="20"/>
              </w:rPr>
            </w:pPr>
            <w:r w:rsidRPr="00F11CDC">
              <w:rPr>
                <w:rFonts w:ascii="Calibri" w:eastAsia="Times New Roman" w:hAnsi="Calibri" w:cs="Calibri"/>
                <w:color w:val="000000"/>
                <w:sz w:val="20"/>
                <w:szCs w:val="20"/>
              </w:rPr>
              <w:t>83.68</w:t>
            </w:r>
          </w:p>
        </w:tc>
        <w:tc>
          <w:tcPr>
            <w:tcW w:w="1390" w:type="dxa"/>
            <w:vAlign w:val="bottom"/>
          </w:tcPr>
          <w:p w14:paraId="231A0695" w14:textId="77777777" w:rsidR="00825666" w:rsidRPr="00F11CDC" w:rsidRDefault="00825666" w:rsidP="00F60E7C">
            <w:pPr>
              <w:contextualSpacing/>
              <w:jc w:val="center"/>
              <w:rPr>
                <w:rFonts w:ascii="Calibri" w:eastAsia="Times New Roman" w:hAnsi="Calibri" w:cs="Calibri"/>
                <w:sz w:val="20"/>
                <w:szCs w:val="20"/>
              </w:rPr>
            </w:pPr>
            <w:r w:rsidRPr="00F11CDC">
              <w:rPr>
                <w:rFonts w:ascii="Calibri" w:hAnsi="Calibri" w:cs="Calibri"/>
                <w:sz w:val="20"/>
                <w:szCs w:val="20"/>
              </w:rPr>
              <w:t>85.83</w:t>
            </w:r>
          </w:p>
        </w:tc>
        <w:tc>
          <w:tcPr>
            <w:tcW w:w="1389" w:type="dxa"/>
            <w:vAlign w:val="bottom"/>
          </w:tcPr>
          <w:p w14:paraId="387B46D7" w14:textId="77777777" w:rsidR="00825666" w:rsidRPr="00F11CDC" w:rsidRDefault="00825666" w:rsidP="00F60E7C">
            <w:pPr>
              <w:contextualSpacing/>
              <w:jc w:val="center"/>
              <w:rPr>
                <w:rFonts w:ascii="Calibri" w:eastAsia="Times New Roman" w:hAnsi="Calibri" w:cs="Calibri"/>
                <w:sz w:val="20"/>
                <w:szCs w:val="20"/>
              </w:rPr>
            </w:pPr>
            <w:r w:rsidRPr="00F11CDC">
              <w:rPr>
                <w:rFonts w:ascii="Calibri" w:hAnsi="Calibri" w:cs="Calibri"/>
                <w:sz w:val="20"/>
                <w:szCs w:val="20"/>
              </w:rPr>
              <w:t>82.43</w:t>
            </w:r>
          </w:p>
        </w:tc>
        <w:tc>
          <w:tcPr>
            <w:tcW w:w="1390" w:type="dxa"/>
            <w:vAlign w:val="bottom"/>
          </w:tcPr>
          <w:p w14:paraId="6C596F3C" w14:textId="77777777" w:rsidR="00825666" w:rsidRPr="00F11CDC" w:rsidRDefault="00825666" w:rsidP="00F60E7C">
            <w:pPr>
              <w:contextualSpacing/>
              <w:jc w:val="center"/>
              <w:rPr>
                <w:rFonts w:ascii="Calibri" w:eastAsia="Times New Roman" w:hAnsi="Calibri" w:cs="Calibri"/>
                <w:sz w:val="20"/>
                <w:szCs w:val="20"/>
              </w:rPr>
            </w:pPr>
            <w:r w:rsidRPr="00F11CDC">
              <w:rPr>
                <w:rFonts w:ascii="Calibri" w:eastAsia="Times New Roman" w:hAnsi="Calibri" w:cs="Calibri"/>
                <w:sz w:val="20"/>
                <w:szCs w:val="20"/>
              </w:rPr>
              <w:t>68.59</w:t>
            </w:r>
          </w:p>
        </w:tc>
        <w:tc>
          <w:tcPr>
            <w:tcW w:w="1390" w:type="dxa"/>
            <w:vAlign w:val="bottom"/>
          </w:tcPr>
          <w:p w14:paraId="3E0D356D" w14:textId="77777777" w:rsidR="00825666" w:rsidRPr="00F11CDC" w:rsidRDefault="00825666" w:rsidP="00F60E7C">
            <w:pPr>
              <w:contextualSpacing/>
              <w:jc w:val="center"/>
              <w:rPr>
                <w:rFonts w:ascii="Calibri" w:eastAsia="Times New Roman" w:hAnsi="Calibri" w:cs="Calibri"/>
                <w:sz w:val="20"/>
                <w:szCs w:val="20"/>
              </w:rPr>
            </w:pPr>
            <w:r w:rsidRPr="00F11CDC">
              <w:rPr>
                <w:rFonts w:ascii="Calibri" w:eastAsia="Times New Roman" w:hAnsi="Calibri" w:cs="Calibri"/>
                <w:sz w:val="20"/>
                <w:szCs w:val="20"/>
              </w:rPr>
              <w:t>97.98</w:t>
            </w:r>
          </w:p>
        </w:tc>
      </w:tr>
      <w:tr w:rsidR="00825666" w:rsidRPr="00F11CDC" w14:paraId="1F480CD3" w14:textId="77777777" w:rsidTr="00033521">
        <w:tc>
          <w:tcPr>
            <w:tcW w:w="2628" w:type="dxa"/>
            <w:vAlign w:val="bottom"/>
          </w:tcPr>
          <w:p w14:paraId="4CE0CDFB" w14:textId="77777777" w:rsidR="00825666" w:rsidRPr="00F11CDC" w:rsidRDefault="00825666" w:rsidP="00F60E7C">
            <w:pPr>
              <w:contextualSpacing/>
              <w:jc w:val="center"/>
              <w:rPr>
                <w:rFonts w:ascii="Calibri" w:eastAsia="Times New Roman" w:hAnsi="Calibri" w:cs="Calibri"/>
                <w:color w:val="000000"/>
                <w:sz w:val="20"/>
                <w:szCs w:val="20"/>
              </w:rPr>
            </w:pPr>
            <w:r w:rsidRPr="00F11CDC">
              <w:rPr>
                <w:rFonts w:ascii="Calibri" w:eastAsia="Times New Roman" w:hAnsi="Calibri" w:cs="Calibri"/>
                <w:color w:val="000000"/>
                <w:sz w:val="20"/>
                <w:szCs w:val="20"/>
              </w:rPr>
              <w:t>6.50</w:t>
            </w:r>
          </w:p>
        </w:tc>
        <w:tc>
          <w:tcPr>
            <w:tcW w:w="1389" w:type="dxa"/>
            <w:vAlign w:val="bottom"/>
          </w:tcPr>
          <w:p w14:paraId="674AEFDF" w14:textId="77777777" w:rsidR="00825666" w:rsidRPr="00F11CDC" w:rsidRDefault="00825666" w:rsidP="00F60E7C">
            <w:pPr>
              <w:contextualSpacing/>
              <w:jc w:val="center"/>
              <w:rPr>
                <w:rFonts w:ascii="Calibri" w:eastAsia="Times New Roman" w:hAnsi="Calibri" w:cs="Calibri"/>
                <w:color w:val="000000"/>
                <w:sz w:val="20"/>
                <w:szCs w:val="20"/>
              </w:rPr>
            </w:pPr>
            <w:r w:rsidRPr="00F11CDC">
              <w:rPr>
                <w:rFonts w:ascii="Calibri" w:eastAsia="Times New Roman" w:hAnsi="Calibri" w:cs="Calibri"/>
                <w:color w:val="000000"/>
                <w:sz w:val="20"/>
                <w:szCs w:val="20"/>
              </w:rPr>
              <w:t>84.14</w:t>
            </w:r>
          </w:p>
        </w:tc>
        <w:tc>
          <w:tcPr>
            <w:tcW w:w="1390" w:type="dxa"/>
            <w:vAlign w:val="bottom"/>
          </w:tcPr>
          <w:p w14:paraId="40E1281C" w14:textId="77777777" w:rsidR="00825666" w:rsidRPr="00F11CDC" w:rsidRDefault="00825666" w:rsidP="00F60E7C">
            <w:pPr>
              <w:contextualSpacing/>
              <w:jc w:val="center"/>
              <w:rPr>
                <w:rFonts w:ascii="Calibri" w:eastAsia="Times New Roman" w:hAnsi="Calibri" w:cs="Calibri"/>
                <w:sz w:val="20"/>
                <w:szCs w:val="20"/>
              </w:rPr>
            </w:pPr>
            <w:r w:rsidRPr="00F11CDC">
              <w:rPr>
                <w:rFonts w:ascii="Calibri" w:hAnsi="Calibri" w:cs="Calibri"/>
                <w:sz w:val="20"/>
                <w:szCs w:val="20"/>
              </w:rPr>
              <w:t>85.34</w:t>
            </w:r>
          </w:p>
        </w:tc>
        <w:tc>
          <w:tcPr>
            <w:tcW w:w="1389" w:type="dxa"/>
            <w:vAlign w:val="bottom"/>
          </w:tcPr>
          <w:p w14:paraId="18CC9BCE" w14:textId="77777777" w:rsidR="00825666" w:rsidRPr="00F11CDC" w:rsidRDefault="00825666" w:rsidP="00F60E7C">
            <w:pPr>
              <w:contextualSpacing/>
              <w:jc w:val="center"/>
              <w:rPr>
                <w:rFonts w:ascii="Calibri" w:eastAsia="Times New Roman" w:hAnsi="Calibri" w:cs="Calibri"/>
                <w:sz w:val="20"/>
                <w:szCs w:val="20"/>
              </w:rPr>
            </w:pPr>
            <w:r w:rsidRPr="00F11CDC">
              <w:rPr>
                <w:rFonts w:ascii="Calibri" w:hAnsi="Calibri" w:cs="Calibri"/>
                <w:sz w:val="20"/>
                <w:szCs w:val="20"/>
              </w:rPr>
              <w:t>83.44</w:t>
            </w:r>
          </w:p>
        </w:tc>
        <w:tc>
          <w:tcPr>
            <w:tcW w:w="1390" w:type="dxa"/>
            <w:vAlign w:val="bottom"/>
          </w:tcPr>
          <w:p w14:paraId="7C81FB4F" w14:textId="77777777" w:rsidR="00825666" w:rsidRPr="00F11CDC" w:rsidRDefault="00825666" w:rsidP="00F60E7C">
            <w:pPr>
              <w:contextualSpacing/>
              <w:jc w:val="center"/>
              <w:rPr>
                <w:rFonts w:ascii="Calibri" w:eastAsia="Times New Roman" w:hAnsi="Calibri" w:cs="Calibri"/>
                <w:sz w:val="20"/>
                <w:szCs w:val="20"/>
              </w:rPr>
            </w:pPr>
            <w:r w:rsidRPr="00F11CDC">
              <w:rPr>
                <w:rFonts w:ascii="Calibri" w:eastAsia="Times New Roman" w:hAnsi="Calibri" w:cs="Calibri"/>
                <w:sz w:val="20"/>
                <w:szCs w:val="20"/>
              </w:rPr>
              <w:t>68.97</w:t>
            </w:r>
          </w:p>
        </w:tc>
        <w:tc>
          <w:tcPr>
            <w:tcW w:w="1390" w:type="dxa"/>
            <w:vAlign w:val="bottom"/>
          </w:tcPr>
          <w:p w14:paraId="2192FEDC" w14:textId="77777777" w:rsidR="00825666" w:rsidRPr="00F11CDC" w:rsidRDefault="00825666" w:rsidP="00F60E7C">
            <w:pPr>
              <w:contextualSpacing/>
              <w:jc w:val="center"/>
              <w:rPr>
                <w:rFonts w:ascii="Calibri" w:eastAsia="Times New Roman" w:hAnsi="Calibri" w:cs="Calibri"/>
                <w:sz w:val="20"/>
                <w:szCs w:val="20"/>
              </w:rPr>
            </w:pPr>
            <w:r w:rsidRPr="00F11CDC">
              <w:rPr>
                <w:rFonts w:ascii="Calibri" w:eastAsia="Times New Roman" w:hAnsi="Calibri" w:cs="Calibri"/>
                <w:sz w:val="20"/>
                <w:szCs w:val="20"/>
              </w:rPr>
              <w:t>98.53</w:t>
            </w:r>
          </w:p>
        </w:tc>
      </w:tr>
      <w:tr w:rsidR="00825666" w:rsidRPr="00F11CDC" w14:paraId="77BEAEA0" w14:textId="77777777" w:rsidTr="00033521">
        <w:tc>
          <w:tcPr>
            <w:tcW w:w="2628" w:type="dxa"/>
            <w:vAlign w:val="bottom"/>
          </w:tcPr>
          <w:p w14:paraId="2A20B865" w14:textId="77777777" w:rsidR="00825666" w:rsidRPr="00F11CDC" w:rsidRDefault="00825666" w:rsidP="00F60E7C">
            <w:pPr>
              <w:contextualSpacing/>
              <w:jc w:val="center"/>
              <w:rPr>
                <w:rFonts w:ascii="Calibri" w:eastAsia="Times New Roman" w:hAnsi="Calibri" w:cs="Calibri"/>
                <w:color w:val="000000"/>
                <w:sz w:val="20"/>
                <w:szCs w:val="20"/>
              </w:rPr>
            </w:pPr>
            <w:r w:rsidRPr="00F11CDC">
              <w:rPr>
                <w:rFonts w:ascii="Calibri" w:eastAsia="Times New Roman" w:hAnsi="Calibri" w:cs="Calibri"/>
                <w:color w:val="000000"/>
                <w:sz w:val="20"/>
                <w:szCs w:val="20"/>
              </w:rPr>
              <w:t>6.00</w:t>
            </w:r>
          </w:p>
        </w:tc>
        <w:tc>
          <w:tcPr>
            <w:tcW w:w="1389" w:type="dxa"/>
            <w:vAlign w:val="bottom"/>
          </w:tcPr>
          <w:p w14:paraId="444EC7F1" w14:textId="77777777" w:rsidR="00825666" w:rsidRPr="00F11CDC" w:rsidRDefault="00825666" w:rsidP="00F60E7C">
            <w:pPr>
              <w:contextualSpacing/>
              <w:jc w:val="center"/>
              <w:rPr>
                <w:rFonts w:ascii="Calibri" w:eastAsia="Times New Roman" w:hAnsi="Calibri" w:cs="Calibri"/>
                <w:color w:val="000000"/>
                <w:sz w:val="20"/>
                <w:szCs w:val="20"/>
              </w:rPr>
            </w:pPr>
            <w:r w:rsidRPr="00F11CDC">
              <w:rPr>
                <w:rFonts w:ascii="Calibri" w:eastAsia="Times New Roman" w:hAnsi="Calibri" w:cs="Calibri"/>
                <w:color w:val="000000"/>
                <w:sz w:val="20"/>
                <w:szCs w:val="20"/>
              </w:rPr>
              <w:t>84.85</w:t>
            </w:r>
          </w:p>
        </w:tc>
        <w:tc>
          <w:tcPr>
            <w:tcW w:w="1390" w:type="dxa"/>
            <w:vAlign w:val="bottom"/>
          </w:tcPr>
          <w:p w14:paraId="1D594CCF" w14:textId="77777777" w:rsidR="00825666" w:rsidRPr="00F11CDC" w:rsidRDefault="00825666" w:rsidP="00F60E7C">
            <w:pPr>
              <w:contextualSpacing/>
              <w:jc w:val="center"/>
              <w:rPr>
                <w:rFonts w:ascii="Calibri" w:eastAsia="Times New Roman" w:hAnsi="Calibri" w:cs="Calibri"/>
                <w:sz w:val="20"/>
                <w:szCs w:val="20"/>
              </w:rPr>
            </w:pPr>
            <w:r w:rsidRPr="00F11CDC">
              <w:rPr>
                <w:rFonts w:ascii="Calibri" w:hAnsi="Calibri" w:cs="Calibri"/>
                <w:sz w:val="20"/>
                <w:szCs w:val="20"/>
              </w:rPr>
              <w:t>85.27</w:t>
            </w:r>
          </w:p>
        </w:tc>
        <w:tc>
          <w:tcPr>
            <w:tcW w:w="1389" w:type="dxa"/>
            <w:vAlign w:val="bottom"/>
          </w:tcPr>
          <w:p w14:paraId="05E45607" w14:textId="77777777" w:rsidR="00825666" w:rsidRPr="00F11CDC" w:rsidRDefault="00825666" w:rsidP="00F60E7C">
            <w:pPr>
              <w:contextualSpacing/>
              <w:jc w:val="center"/>
              <w:rPr>
                <w:rFonts w:ascii="Calibri" w:eastAsia="Times New Roman" w:hAnsi="Calibri" w:cs="Calibri"/>
                <w:sz w:val="20"/>
                <w:szCs w:val="20"/>
              </w:rPr>
            </w:pPr>
            <w:r w:rsidRPr="00F11CDC">
              <w:rPr>
                <w:rFonts w:ascii="Calibri" w:hAnsi="Calibri" w:cs="Calibri"/>
                <w:sz w:val="20"/>
                <w:szCs w:val="20"/>
              </w:rPr>
              <w:t>84.59</w:t>
            </w:r>
          </w:p>
        </w:tc>
        <w:tc>
          <w:tcPr>
            <w:tcW w:w="1390" w:type="dxa"/>
            <w:vAlign w:val="bottom"/>
          </w:tcPr>
          <w:p w14:paraId="23C50032" w14:textId="77777777" w:rsidR="00825666" w:rsidRPr="00F11CDC" w:rsidRDefault="00825666" w:rsidP="00F60E7C">
            <w:pPr>
              <w:contextualSpacing/>
              <w:jc w:val="center"/>
              <w:rPr>
                <w:rFonts w:ascii="Calibri" w:eastAsia="Times New Roman" w:hAnsi="Calibri" w:cs="Calibri"/>
                <w:sz w:val="20"/>
                <w:szCs w:val="20"/>
              </w:rPr>
            </w:pPr>
            <w:r w:rsidRPr="00F11CDC">
              <w:rPr>
                <w:rFonts w:ascii="Calibri" w:eastAsia="Times New Roman" w:hAnsi="Calibri" w:cs="Calibri"/>
                <w:sz w:val="20"/>
                <w:szCs w:val="20"/>
              </w:rPr>
              <w:t>69.55</w:t>
            </w:r>
          </w:p>
        </w:tc>
        <w:tc>
          <w:tcPr>
            <w:tcW w:w="1390" w:type="dxa"/>
            <w:vAlign w:val="bottom"/>
          </w:tcPr>
          <w:p w14:paraId="57A533BD" w14:textId="77777777" w:rsidR="00825666" w:rsidRPr="00F11CDC" w:rsidRDefault="00825666" w:rsidP="00F60E7C">
            <w:pPr>
              <w:contextualSpacing/>
              <w:jc w:val="center"/>
              <w:rPr>
                <w:rFonts w:ascii="Calibri" w:eastAsia="Times New Roman" w:hAnsi="Calibri" w:cs="Calibri"/>
                <w:sz w:val="20"/>
                <w:szCs w:val="20"/>
              </w:rPr>
            </w:pPr>
            <w:r w:rsidRPr="00F11CDC">
              <w:rPr>
                <w:rFonts w:ascii="Calibri" w:eastAsia="Times New Roman" w:hAnsi="Calibri" w:cs="Calibri"/>
                <w:sz w:val="20"/>
                <w:szCs w:val="20"/>
              </w:rPr>
              <w:t>99.35</w:t>
            </w:r>
          </w:p>
        </w:tc>
      </w:tr>
      <w:tr w:rsidR="00825666" w:rsidRPr="00F11CDC" w14:paraId="7F64C1CF" w14:textId="77777777" w:rsidTr="00033521">
        <w:tc>
          <w:tcPr>
            <w:tcW w:w="2628" w:type="dxa"/>
            <w:vAlign w:val="bottom"/>
          </w:tcPr>
          <w:p w14:paraId="693E2F93" w14:textId="77777777" w:rsidR="00825666" w:rsidRPr="00F11CDC" w:rsidRDefault="00825666" w:rsidP="00F60E7C">
            <w:pPr>
              <w:contextualSpacing/>
              <w:jc w:val="center"/>
              <w:rPr>
                <w:rFonts w:ascii="Calibri" w:eastAsia="Times New Roman" w:hAnsi="Calibri" w:cs="Calibri"/>
                <w:color w:val="000000"/>
                <w:sz w:val="20"/>
                <w:szCs w:val="20"/>
              </w:rPr>
            </w:pPr>
            <w:r w:rsidRPr="00F11CDC">
              <w:rPr>
                <w:rFonts w:ascii="Calibri" w:eastAsia="Times New Roman" w:hAnsi="Calibri" w:cs="Calibri"/>
                <w:color w:val="000000"/>
                <w:sz w:val="20"/>
                <w:szCs w:val="20"/>
              </w:rPr>
              <w:t>5.50</w:t>
            </w:r>
          </w:p>
        </w:tc>
        <w:tc>
          <w:tcPr>
            <w:tcW w:w="1389" w:type="dxa"/>
            <w:shd w:val="clear" w:color="auto" w:fill="D9D9D9" w:themeFill="background1" w:themeFillShade="D9"/>
            <w:vAlign w:val="bottom"/>
          </w:tcPr>
          <w:p w14:paraId="11B4198F" w14:textId="77777777" w:rsidR="00825666" w:rsidRPr="00F11CDC" w:rsidRDefault="00825666" w:rsidP="00F60E7C">
            <w:pPr>
              <w:contextualSpacing/>
              <w:jc w:val="center"/>
              <w:rPr>
                <w:rFonts w:ascii="Calibri" w:eastAsia="Times New Roman" w:hAnsi="Calibri" w:cs="Calibri"/>
                <w:color w:val="000000"/>
                <w:sz w:val="20"/>
                <w:szCs w:val="20"/>
              </w:rPr>
            </w:pPr>
            <w:r w:rsidRPr="00F11CDC">
              <w:rPr>
                <w:rFonts w:ascii="Calibri" w:eastAsia="Times New Roman" w:hAnsi="Calibri" w:cs="Calibri"/>
                <w:color w:val="000000"/>
                <w:sz w:val="20"/>
                <w:szCs w:val="20"/>
              </w:rPr>
              <w:t>85.74</w:t>
            </w:r>
          </w:p>
        </w:tc>
        <w:tc>
          <w:tcPr>
            <w:tcW w:w="1390" w:type="dxa"/>
            <w:vAlign w:val="bottom"/>
          </w:tcPr>
          <w:p w14:paraId="45453FCA" w14:textId="77777777" w:rsidR="00825666" w:rsidRPr="00F11CDC" w:rsidRDefault="00825666" w:rsidP="00F60E7C">
            <w:pPr>
              <w:contextualSpacing/>
              <w:jc w:val="center"/>
              <w:rPr>
                <w:rFonts w:ascii="Calibri" w:eastAsia="Times New Roman" w:hAnsi="Calibri" w:cs="Calibri"/>
                <w:sz w:val="20"/>
                <w:szCs w:val="20"/>
              </w:rPr>
            </w:pPr>
            <w:r w:rsidRPr="00F11CDC">
              <w:rPr>
                <w:rFonts w:ascii="Calibri" w:hAnsi="Calibri" w:cs="Calibri"/>
                <w:sz w:val="20"/>
                <w:szCs w:val="20"/>
              </w:rPr>
              <w:t>85.52</w:t>
            </w:r>
          </w:p>
        </w:tc>
        <w:tc>
          <w:tcPr>
            <w:tcW w:w="1389" w:type="dxa"/>
            <w:vAlign w:val="bottom"/>
          </w:tcPr>
          <w:p w14:paraId="0CAD151B" w14:textId="77777777" w:rsidR="00825666" w:rsidRPr="00F11CDC" w:rsidRDefault="00825666" w:rsidP="00F60E7C">
            <w:pPr>
              <w:contextualSpacing/>
              <w:jc w:val="center"/>
              <w:rPr>
                <w:rFonts w:ascii="Calibri" w:eastAsia="Times New Roman" w:hAnsi="Calibri" w:cs="Calibri"/>
                <w:sz w:val="20"/>
                <w:szCs w:val="20"/>
              </w:rPr>
            </w:pPr>
            <w:r w:rsidRPr="00F11CDC">
              <w:rPr>
                <w:rFonts w:ascii="Calibri" w:hAnsi="Calibri" w:cs="Calibri"/>
                <w:sz w:val="20"/>
                <w:szCs w:val="20"/>
              </w:rPr>
              <w:t>85.87</w:t>
            </w:r>
          </w:p>
        </w:tc>
        <w:tc>
          <w:tcPr>
            <w:tcW w:w="1390" w:type="dxa"/>
            <w:vAlign w:val="bottom"/>
          </w:tcPr>
          <w:p w14:paraId="670F75C9" w14:textId="77777777" w:rsidR="00825666" w:rsidRPr="00F11CDC" w:rsidRDefault="00825666" w:rsidP="00F60E7C">
            <w:pPr>
              <w:contextualSpacing/>
              <w:jc w:val="center"/>
              <w:rPr>
                <w:rFonts w:ascii="Calibri" w:eastAsia="Times New Roman" w:hAnsi="Calibri" w:cs="Calibri"/>
                <w:sz w:val="20"/>
                <w:szCs w:val="20"/>
              </w:rPr>
            </w:pPr>
            <w:r w:rsidRPr="00F11CDC">
              <w:rPr>
                <w:rFonts w:ascii="Calibri" w:eastAsia="Times New Roman" w:hAnsi="Calibri" w:cs="Calibri"/>
                <w:sz w:val="20"/>
                <w:szCs w:val="20"/>
              </w:rPr>
              <w:t>70.28</w:t>
            </w:r>
          </w:p>
        </w:tc>
        <w:tc>
          <w:tcPr>
            <w:tcW w:w="1390" w:type="dxa"/>
            <w:vAlign w:val="bottom"/>
          </w:tcPr>
          <w:p w14:paraId="57269D13" w14:textId="77777777" w:rsidR="00825666" w:rsidRPr="00F11CDC" w:rsidRDefault="00825666" w:rsidP="00F60E7C">
            <w:pPr>
              <w:contextualSpacing/>
              <w:jc w:val="center"/>
              <w:rPr>
                <w:rFonts w:ascii="Calibri" w:eastAsia="Times New Roman" w:hAnsi="Calibri" w:cs="Calibri"/>
                <w:sz w:val="20"/>
                <w:szCs w:val="20"/>
              </w:rPr>
            </w:pPr>
            <w:r w:rsidRPr="00F11CDC">
              <w:rPr>
                <w:rFonts w:ascii="Calibri" w:eastAsia="Times New Roman" w:hAnsi="Calibri" w:cs="Calibri"/>
                <w:sz w:val="20"/>
                <w:szCs w:val="20"/>
              </w:rPr>
              <w:t>100.40</w:t>
            </w:r>
          </w:p>
        </w:tc>
      </w:tr>
      <w:tr w:rsidR="00825666" w:rsidRPr="00F11CDC" w14:paraId="387F2FAC" w14:textId="77777777" w:rsidTr="00033521">
        <w:tc>
          <w:tcPr>
            <w:tcW w:w="2628" w:type="dxa"/>
            <w:vAlign w:val="bottom"/>
          </w:tcPr>
          <w:p w14:paraId="576C0F38" w14:textId="77777777" w:rsidR="00825666" w:rsidRPr="00F11CDC" w:rsidRDefault="00825666" w:rsidP="00F60E7C">
            <w:pPr>
              <w:contextualSpacing/>
              <w:jc w:val="center"/>
              <w:rPr>
                <w:rFonts w:ascii="Calibri" w:eastAsia="Times New Roman" w:hAnsi="Calibri" w:cs="Calibri"/>
                <w:color w:val="000000"/>
                <w:sz w:val="20"/>
                <w:szCs w:val="20"/>
              </w:rPr>
            </w:pPr>
            <w:r w:rsidRPr="00F11CDC">
              <w:rPr>
                <w:rFonts w:ascii="Calibri" w:eastAsia="Times New Roman" w:hAnsi="Calibri" w:cs="Calibri"/>
                <w:color w:val="000000"/>
                <w:sz w:val="20"/>
                <w:szCs w:val="20"/>
              </w:rPr>
              <w:t>5.00</w:t>
            </w:r>
          </w:p>
        </w:tc>
        <w:tc>
          <w:tcPr>
            <w:tcW w:w="1389" w:type="dxa"/>
            <w:vAlign w:val="bottom"/>
          </w:tcPr>
          <w:p w14:paraId="6790BC45" w14:textId="77777777" w:rsidR="00825666" w:rsidRPr="00F11CDC" w:rsidRDefault="00825666" w:rsidP="00F60E7C">
            <w:pPr>
              <w:contextualSpacing/>
              <w:jc w:val="center"/>
              <w:rPr>
                <w:rFonts w:ascii="Calibri" w:eastAsia="Times New Roman" w:hAnsi="Calibri" w:cs="Calibri"/>
                <w:color w:val="000000"/>
                <w:sz w:val="20"/>
                <w:szCs w:val="20"/>
              </w:rPr>
            </w:pPr>
            <w:r w:rsidRPr="00F11CDC">
              <w:rPr>
                <w:rFonts w:ascii="Calibri" w:eastAsia="Times New Roman" w:hAnsi="Calibri" w:cs="Calibri"/>
                <w:color w:val="000000"/>
                <w:sz w:val="20"/>
                <w:szCs w:val="20"/>
              </w:rPr>
              <w:t>86.78</w:t>
            </w:r>
          </w:p>
        </w:tc>
        <w:tc>
          <w:tcPr>
            <w:tcW w:w="1390" w:type="dxa"/>
            <w:vAlign w:val="bottom"/>
          </w:tcPr>
          <w:p w14:paraId="3693969B" w14:textId="77777777" w:rsidR="00825666" w:rsidRPr="00F11CDC" w:rsidRDefault="00825666" w:rsidP="00F60E7C">
            <w:pPr>
              <w:contextualSpacing/>
              <w:jc w:val="center"/>
              <w:rPr>
                <w:rFonts w:ascii="Calibri" w:eastAsia="Times New Roman" w:hAnsi="Calibri" w:cs="Calibri"/>
                <w:sz w:val="20"/>
                <w:szCs w:val="20"/>
              </w:rPr>
            </w:pPr>
            <w:r w:rsidRPr="00F11CDC">
              <w:rPr>
                <w:rFonts w:ascii="Calibri" w:hAnsi="Calibri" w:cs="Calibri"/>
                <w:sz w:val="20"/>
                <w:szCs w:val="20"/>
              </w:rPr>
              <w:t>86.03</w:t>
            </w:r>
          </w:p>
        </w:tc>
        <w:tc>
          <w:tcPr>
            <w:tcW w:w="1389" w:type="dxa"/>
            <w:vAlign w:val="bottom"/>
          </w:tcPr>
          <w:p w14:paraId="57059598" w14:textId="77777777" w:rsidR="00825666" w:rsidRPr="00F11CDC" w:rsidRDefault="00825666" w:rsidP="00F60E7C">
            <w:pPr>
              <w:contextualSpacing/>
              <w:jc w:val="center"/>
              <w:rPr>
                <w:rFonts w:ascii="Calibri" w:eastAsia="Times New Roman" w:hAnsi="Calibri" w:cs="Calibri"/>
                <w:sz w:val="20"/>
                <w:szCs w:val="20"/>
              </w:rPr>
            </w:pPr>
            <w:r w:rsidRPr="00F11CDC">
              <w:rPr>
                <w:rFonts w:ascii="Calibri" w:hAnsi="Calibri" w:cs="Calibri"/>
                <w:sz w:val="20"/>
                <w:szCs w:val="20"/>
              </w:rPr>
              <w:t>87.24</w:t>
            </w:r>
          </w:p>
        </w:tc>
        <w:tc>
          <w:tcPr>
            <w:tcW w:w="1390" w:type="dxa"/>
            <w:vAlign w:val="bottom"/>
          </w:tcPr>
          <w:p w14:paraId="0C48C788" w14:textId="77777777" w:rsidR="00825666" w:rsidRPr="00F11CDC" w:rsidRDefault="00825666" w:rsidP="00F60E7C">
            <w:pPr>
              <w:contextualSpacing/>
              <w:jc w:val="center"/>
              <w:rPr>
                <w:rFonts w:ascii="Calibri" w:eastAsia="Times New Roman" w:hAnsi="Calibri" w:cs="Calibri"/>
                <w:sz w:val="20"/>
                <w:szCs w:val="20"/>
              </w:rPr>
            </w:pPr>
            <w:r w:rsidRPr="00F11CDC">
              <w:rPr>
                <w:rFonts w:ascii="Calibri" w:eastAsia="Times New Roman" w:hAnsi="Calibri" w:cs="Calibri"/>
                <w:sz w:val="20"/>
                <w:szCs w:val="20"/>
              </w:rPr>
              <w:t>71.13</w:t>
            </w:r>
          </w:p>
        </w:tc>
        <w:tc>
          <w:tcPr>
            <w:tcW w:w="1390" w:type="dxa"/>
            <w:vAlign w:val="bottom"/>
          </w:tcPr>
          <w:p w14:paraId="5F1B61AE" w14:textId="77777777" w:rsidR="00825666" w:rsidRPr="00F11CDC" w:rsidRDefault="00825666" w:rsidP="00F60E7C">
            <w:pPr>
              <w:contextualSpacing/>
              <w:jc w:val="center"/>
              <w:rPr>
                <w:rFonts w:ascii="Calibri" w:eastAsia="Times New Roman" w:hAnsi="Calibri" w:cs="Calibri"/>
                <w:sz w:val="20"/>
                <w:szCs w:val="20"/>
              </w:rPr>
            </w:pPr>
            <w:r w:rsidRPr="00F11CDC">
              <w:rPr>
                <w:rFonts w:ascii="Calibri" w:eastAsia="Times New Roman" w:hAnsi="Calibri" w:cs="Calibri"/>
                <w:sz w:val="20"/>
                <w:szCs w:val="20"/>
              </w:rPr>
              <w:t>101.62</w:t>
            </w:r>
          </w:p>
        </w:tc>
      </w:tr>
      <w:tr w:rsidR="00825666" w:rsidRPr="00F11CDC" w14:paraId="5FBE73FF" w14:textId="77777777" w:rsidTr="00033521">
        <w:tc>
          <w:tcPr>
            <w:tcW w:w="2628" w:type="dxa"/>
            <w:vAlign w:val="bottom"/>
          </w:tcPr>
          <w:p w14:paraId="02549CB3" w14:textId="77777777" w:rsidR="00825666" w:rsidRPr="00F11CDC" w:rsidRDefault="00825666" w:rsidP="00F60E7C">
            <w:pPr>
              <w:contextualSpacing/>
              <w:jc w:val="center"/>
              <w:rPr>
                <w:rFonts w:ascii="Calibri" w:eastAsia="Times New Roman" w:hAnsi="Calibri" w:cs="Calibri"/>
                <w:color w:val="000000"/>
                <w:sz w:val="20"/>
                <w:szCs w:val="20"/>
              </w:rPr>
            </w:pPr>
            <w:r w:rsidRPr="00F11CDC">
              <w:rPr>
                <w:rFonts w:ascii="Calibri" w:eastAsia="Times New Roman" w:hAnsi="Calibri" w:cs="Calibri"/>
                <w:color w:val="000000"/>
                <w:sz w:val="20"/>
                <w:szCs w:val="20"/>
              </w:rPr>
              <w:t>4.50</w:t>
            </w:r>
          </w:p>
        </w:tc>
        <w:tc>
          <w:tcPr>
            <w:tcW w:w="1389" w:type="dxa"/>
            <w:vAlign w:val="bottom"/>
          </w:tcPr>
          <w:p w14:paraId="030C2FE2" w14:textId="77777777" w:rsidR="00825666" w:rsidRPr="00F11CDC" w:rsidRDefault="00825666" w:rsidP="00F60E7C">
            <w:pPr>
              <w:contextualSpacing/>
              <w:jc w:val="center"/>
              <w:rPr>
                <w:rFonts w:ascii="Calibri" w:eastAsia="Times New Roman" w:hAnsi="Calibri" w:cs="Calibri"/>
                <w:color w:val="000000"/>
                <w:sz w:val="20"/>
                <w:szCs w:val="20"/>
              </w:rPr>
            </w:pPr>
            <w:r w:rsidRPr="00F11CDC">
              <w:rPr>
                <w:rFonts w:ascii="Calibri" w:eastAsia="Times New Roman" w:hAnsi="Calibri" w:cs="Calibri"/>
                <w:color w:val="000000"/>
                <w:sz w:val="20"/>
                <w:szCs w:val="20"/>
              </w:rPr>
              <w:t>87.94</w:t>
            </w:r>
          </w:p>
        </w:tc>
        <w:tc>
          <w:tcPr>
            <w:tcW w:w="1390" w:type="dxa"/>
            <w:vAlign w:val="bottom"/>
          </w:tcPr>
          <w:p w14:paraId="0595B511" w14:textId="77777777" w:rsidR="00825666" w:rsidRPr="00F11CDC" w:rsidRDefault="00825666" w:rsidP="00F60E7C">
            <w:pPr>
              <w:contextualSpacing/>
              <w:jc w:val="center"/>
              <w:rPr>
                <w:rFonts w:ascii="Calibri" w:eastAsia="Times New Roman" w:hAnsi="Calibri" w:cs="Calibri"/>
                <w:sz w:val="20"/>
                <w:szCs w:val="20"/>
              </w:rPr>
            </w:pPr>
            <w:r w:rsidRPr="00F11CDC">
              <w:rPr>
                <w:rFonts w:ascii="Calibri" w:hAnsi="Calibri" w:cs="Calibri"/>
                <w:sz w:val="20"/>
                <w:szCs w:val="20"/>
              </w:rPr>
              <w:t>86.74</w:t>
            </w:r>
          </w:p>
        </w:tc>
        <w:tc>
          <w:tcPr>
            <w:tcW w:w="1389" w:type="dxa"/>
            <w:vAlign w:val="bottom"/>
          </w:tcPr>
          <w:p w14:paraId="5B500DFC" w14:textId="77777777" w:rsidR="00825666" w:rsidRPr="00F11CDC" w:rsidRDefault="00825666" w:rsidP="00F60E7C">
            <w:pPr>
              <w:contextualSpacing/>
              <w:jc w:val="center"/>
              <w:rPr>
                <w:rFonts w:ascii="Calibri" w:eastAsia="Times New Roman" w:hAnsi="Calibri" w:cs="Calibri"/>
                <w:sz w:val="20"/>
                <w:szCs w:val="20"/>
              </w:rPr>
            </w:pPr>
            <w:r w:rsidRPr="00F11CDC">
              <w:rPr>
                <w:rFonts w:ascii="Calibri" w:hAnsi="Calibri" w:cs="Calibri"/>
                <w:sz w:val="20"/>
                <w:szCs w:val="20"/>
              </w:rPr>
              <w:t>88.68</w:t>
            </w:r>
          </w:p>
        </w:tc>
        <w:tc>
          <w:tcPr>
            <w:tcW w:w="1390" w:type="dxa"/>
            <w:vAlign w:val="bottom"/>
          </w:tcPr>
          <w:p w14:paraId="29355354" w14:textId="77777777" w:rsidR="00825666" w:rsidRPr="00F11CDC" w:rsidRDefault="00825666" w:rsidP="00F60E7C">
            <w:pPr>
              <w:contextualSpacing/>
              <w:jc w:val="center"/>
              <w:rPr>
                <w:rFonts w:ascii="Calibri" w:eastAsia="Times New Roman" w:hAnsi="Calibri" w:cs="Calibri"/>
                <w:sz w:val="20"/>
                <w:szCs w:val="20"/>
              </w:rPr>
            </w:pPr>
            <w:r w:rsidRPr="00F11CDC">
              <w:rPr>
                <w:rFonts w:ascii="Calibri" w:eastAsia="Times New Roman" w:hAnsi="Calibri" w:cs="Calibri"/>
                <w:sz w:val="20"/>
                <w:szCs w:val="20"/>
              </w:rPr>
              <w:t>72.08</w:t>
            </w:r>
          </w:p>
        </w:tc>
        <w:tc>
          <w:tcPr>
            <w:tcW w:w="1390" w:type="dxa"/>
            <w:vAlign w:val="bottom"/>
          </w:tcPr>
          <w:p w14:paraId="7DCA94E1" w14:textId="77777777" w:rsidR="00825666" w:rsidRPr="00F11CDC" w:rsidRDefault="00825666" w:rsidP="00F60E7C">
            <w:pPr>
              <w:contextualSpacing/>
              <w:jc w:val="center"/>
              <w:rPr>
                <w:rFonts w:ascii="Calibri" w:eastAsia="Times New Roman" w:hAnsi="Calibri" w:cs="Calibri"/>
                <w:sz w:val="20"/>
                <w:szCs w:val="20"/>
              </w:rPr>
            </w:pPr>
            <w:r w:rsidRPr="00F11CDC">
              <w:rPr>
                <w:rFonts w:ascii="Calibri" w:eastAsia="Times New Roman" w:hAnsi="Calibri" w:cs="Calibri"/>
                <w:sz w:val="20"/>
                <w:szCs w:val="20"/>
              </w:rPr>
              <w:t>102.98</w:t>
            </w:r>
          </w:p>
        </w:tc>
      </w:tr>
      <w:tr w:rsidR="00825666" w:rsidRPr="00F11CDC" w14:paraId="74E6DD7A" w14:textId="77777777" w:rsidTr="00033521">
        <w:tc>
          <w:tcPr>
            <w:tcW w:w="2628" w:type="dxa"/>
            <w:vAlign w:val="bottom"/>
          </w:tcPr>
          <w:p w14:paraId="2874EC02" w14:textId="77777777" w:rsidR="00825666" w:rsidRPr="00F11CDC" w:rsidRDefault="00825666" w:rsidP="00F60E7C">
            <w:pPr>
              <w:contextualSpacing/>
              <w:jc w:val="center"/>
              <w:rPr>
                <w:rFonts w:ascii="Calibri" w:eastAsia="Times New Roman" w:hAnsi="Calibri" w:cs="Calibri"/>
                <w:color w:val="000000"/>
                <w:sz w:val="20"/>
                <w:szCs w:val="20"/>
              </w:rPr>
            </w:pPr>
            <w:r w:rsidRPr="00F11CDC">
              <w:rPr>
                <w:rFonts w:ascii="Calibri" w:eastAsia="Times New Roman" w:hAnsi="Calibri" w:cs="Calibri"/>
                <w:color w:val="000000"/>
                <w:sz w:val="20"/>
                <w:szCs w:val="20"/>
              </w:rPr>
              <w:t>4.00</w:t>
            </w:r>
          </w:p>
        </w:tc>
        <w:tc>
          <w:tcPr>
            <w:tcW w:w="1389" w:type="dxa"/>
            <w:vAlign w:val="bottom"/>
          </w:tcPr>
          <w:p w14:paraId="288ED18F" w14:textId="77777777" w:rsidR="00825666" w:rsidRPr="00F11CDC" w:rsidRDefault="00825666" w:rsidP="00F60E7C">
            <w:pPr>
              <w:contextualSpacing/>
              <w:jc w:val="center"/>
              <w:rPr>
                <w:rFonts w:ascii="Calibri" w:eastAsia="Times New Roman" w:hAnsi="Calibri" w:cs="Calibri"/>
                <w:color w:val="000000"/>
                <w:sz w:val="20"/>
                <w:szCs w:val="20"/>
              </w:rPr>
            </w:pPr>
            <w:r w:rsidRPr="00F11CDC">
              <w:rPr>
                <w:rFonts w:ascii="Calibri" w:eastAsia="Times New Roman" w:hAnsi="Calibri" w:cs="Calibri"/>
                <w:color w:val="000000"/>
                <w:sz w:val="20"/>
                <w:szCs w:val="20"/>
              </w:rPr>
              <w:t>89.19</w:t>
            </w:r>
          </w:p>
        </w:tc>
        <w:tc>
          <w:tcPr>
            <w:tcW w:w="1390" w:type="dxa"/>
            <w:vAlign w:val="bottom"/>
          </w:tcPr>
          <w:p w14:paraId="0A0A23B5" w14:textId="77777777" w:rsidR="00825666" w:rsidRPr="00F11CDC" w:rsidRDefault="00825666" w:rsidP="00F60E7C">
            <w:pPr>
              <w:contextualSpacing/>
              <w:jc w:val="center"/>
              <w:rPr>
                <w:rFonts w:ascii="Calibri" w:eastAsia="Times New Roman" w:hAnsi="Calibri" w:cs="Calibri"/>
                <w:sz w:val="20"/>
                <w:szCs w:val="20"/>
              </w:rPr>
            </w:pPr>
            <w:r w:rsidRPr="00F11CDC">
              <w:rPr>
                <w:rFonts w:ascii="Calibri" w:hAnsi="Calibri" w:cs="Calibri"/>
                <w:sz w:val="20"/>
                <w:szCs w:val="20"/>
              </w:rPr>
              <w:t>87.60</w:t>
            </w:r>
          </w:p>
        </w:tc>
        <w:tc>
          <w:tcPr>
            <w:tcW w:w="1389" w:type="dxa"/>
            <w:vAlign w:val="bottom"/>
          </w:tcPr>
          <w:p w14:paraId="4208988B" w14:textId="77777777" w:rsidR="00825666" w:rsidRPr="00F11CDC" w:rsidRDefault="00825666" w:rsidP="00F60E7C">
            <w:pPr>
              <w:contextualSpacing/>
              <w:jc w:val="center"/>
              <w:rPr>
                <w:rFonts w:ascii="Calibri" w:eastAsia="Times New Roman" w:hAnsi="Calibri" w:cs="Calibri"/>
                <w:sz w:val="20"/>
                <w:szCs w:val="20"/>
              </w:rPr>
            </w:pPr>
            <w:r w:rsidRPr="00F11CDC">
              <w:rPr>
                <w:rFonts w:ascii="Calibri" w:hAnsi="Calibri" w:cs="Calibri"/>
                <w:sz w:val="20"/>
                <w:szCs w:val="20"/>
              </w:rPr>
              <w:t>90.17</w:t>
            </w:r>
          </w:p>
        </w:tc>
        <w:tc>
          <w:tcPr>
            <w:tcW w:w="1390" w:type="dxa"/>
            <w:vAlign w:val="bottom"/>
          </w:tcPr>
          <w:p w14:paraId="5ED0D267" w14:textId="77777777" w:rsidR="00825666" w:rsidRPr="00F11CDC" w:rsidRDefault="00825666" w:rsidP="00F60E7C">
            <w:pPr>
              <w:contextualSpacing/>
              <w:jc w:val="center"/>
              <w:rPr>
                <w:rFonts w:ascii="Calibri" w:eastAsia="Times New Roman" w:hAnsi="Calibri" w:cs="Calibri"/>
                <w:sz w:val="20"/>
                <w:szCs w:val="20"/>
              </w:rPr>
            </w:pPr>
            <w:r w:rsidRPr="00F11CDC">
              <w:rPr>
                <w:rFonts w:ascii="Calibri" w:eastAsia="Times New Roman" w:hAnsi="Calibri" w:cs="Calibri"/>
                <w:sz w:val="20"/>
                <w:szCs w:val="20"/>
              </w:rPr>
              <w:t>73.11</w:t>
            </w:r>
          </w:p>
        </w:tc>
        <w:tc>
          <w:tcPr>
            <w:tcW w:w="1390" w:type="dxa"/>
            <w:vAlign w:val="bottom"/>
          </w:tcPr>
          <w:p w14:paraId="0C24A551" w14:textId="77777777" w:rsidR="00825666" w:rsidRPr="00F11CDC" w:rsidRDefault="00825666" w:rsidP="00F60E7C">
            <w:pPr>
              <w:contextualSpacing/>
              <w:jc w:val="center"/>
              <w:rPr>
                <w:rFonts w:ascii="Calibri" w:eastAsia="Times New Roman" w:hAnsi="Calibri" w:cs="Calibri"/>
                <w:sz w:val="20"/>
                <w:szCs w:val="20"/>
              </w:rPr>
            </w:pPr>
            <w:r w:rsidRPr="00F11CDC">
              <w:rPr>
                <w:rFonts w:ascii="Calibri" w:eastAsia="Times New Roman" w:hAnsi="Calibri" w:cs="Calibri"/>
                <w:sz w:val="20"/>
                <w:szCs w:val="20"/>
              </w:rPr>
              <w:t>104.44</w:t>
            </w:r>
          </w:p>
        </w:tc>
      </w:tr>
      <w:tr w:rsidR="00825666" w:rsidRPr="00F11CDC" w14:paraId="0CB16636" w14:textId="77777777" w:rsidTr="00033521">
        <w:tc>
          <w:tcPr>
            <w:tcW w:w="2628" w:type="dxa"/>
            <w:vAlign w:val="bottom"/>
          </w:tcPr>
          <w:p w14:paraId="57CB9558" w14:textId="77777777" w:rsidR="00825666" w:rsidRPr="00F11CDC" w:rsidRDefault="00825666" w:rsidP="00F60E7C">
            <w:pPr>
              <w:contextualSpacing/>
              <w:jc w:val="center"/>
              <w:rPr>
                <w:rFonts w:ascii="Calibri" w:eastAsia="Times New Roman" w:hAnsi="Calibri" w:cs="Calibri"/>
                <w:color w:val="000000"/>
                <w:sz w:val="20"/>
                <w:szCs w:val="20"/>
              </w:rPr>
            </w:pPr>
            <w:r w:rsidRPr="00F11CDC">
              <w:rPr>
                <w:rFonts w:ascii="Calibri" w:eastAsia="Times New Roman" w:hAnsi="Calibri" w:cs="Calibri"/>
                <w:color w:val="000000"/>
                <w:sz w:val="20"/>
                <w:szCs w:val="20"/>
              </w:rPr>
              <w:t>3.50</w:t>
            </w:r>
          </w:p>
        </w:tc>
        <w:tc>
          <w:tcPr>
            <w:tcW w:w="1389" w:type="dxa"/>
            <w:vAlign w:val="bottom"/>
          </w:tcPr>
          <w:p w14:paraId="382D2CC2" w14:textId="77777777" w:rsidR="00825666" w:rsidRPr="00F11CDC" w:rsidRDefault="00825666" w:rsidP="00F60E7C">
            <w:pPr>
              <w:contextualSpacing/>
              <w:jc w:val="center"/>
              <w:rPr>
                <w:rFonts w:ascii="Calibri" w:eastAsia="Times New Roman" w:hAnsi="Calibri" w:cs="Calibri"/>
                <w:color w:val="000000"/>
                <w:sz w:val="20"/>
                <w:szCs w:val="20"/>
              </w:rPr>
            </w:pPr>
            <w:r w:rsidRPr="00F11CDC">
              <w:rPr>
                <w:rFonts w:ascii="Calibri" w:eastAsia="Times New Roman" w:hAnsi="Calibri" w:cs="Calibri"/>
                <w:color w:val="000000"/>
                <w:sz w:val="20"/>
                <w:szCs w:val="20"/>
              </w:rPr>
              <w:t>90.50</w:t>
            </w:r>
          </w:p>
        </w:tc>
        <w:tc>
          <w:tcPr>
            <w:tcW w:w="1390" w:type="dxa"/>
            <w:vAlign w:val="bottom"/>
          </w:tcPr>
          <w:p w14:paraId="381AD582" w14:textId="77777777" w:rsidR="00825666" w:rsidRPr="00F11CDC" w:rsidRDefault="00825666" w:rsidP="00F60E7C">
            <w:pPr>
              <w:contextualSpacing/>
              <w:jc w:val="center"/>
              <w:rPr>
                <w:rFonts w:ascii="Calibri" w:eastAsia="Times New Roman" w:hAnsi="Calibri" w:cs="Calibri"/>
                <w:sz w:val="20"/>
                <w:szCs w:val="20"/>
              </w:rPr>
            </w:pPr>
            <w:r w:rsidRPr="00F11CDC">
              <w:rPr>
                <w:rFonts w:ascii="Calibri" w:hAnsi="Calibri" w:cs="Calibri"/>
                <w:sz w:val="20"/>
                <w:szCs w:val="20"/>
              </w:rPr>
              <w:t>88.59</w:t>
            </w:r>
          </w:p>
        </w:tc>
        <w:tc>
          <w:tcPr>
            <w:tcW w:w="1389" w:type="dxa"/>
            <w:vAlign w:val="bottom"/>
          </w:tcPr>
          <w:p w14:paraId="787DBD8E" w14:textId="77777777" w:rsidR="00825666" w:rsidRPr="00F11CDC" w:rsidRDefault="00825666" w:rsidP="00F60E7C">
            <w:pPr>
              <w:contextualSpacing/>
              <w:jc w:val="center"/>
              <w:rPr>
                <w:rFonts w:ascii="Calibri" w:eastAsia="Times New Roman" w:hAnsi="Calibri" w:cs="Calibri"/>
                <w:sz w:val="20"/>
                <w:szCs w:val="20"/>
              </w:rPr>
            </w:pPr>
            <w:r w:rsidRPr="00F11CDC">
              <w:rPr>
                <w:rFonts w:ascii="Calibri" w:hAnsi="Calibri" w:cs="Calibri"/>
                <w:sz w:val="20"/>
                <w:szCs w:val="20"/>
              </w:rPr>
              <w:t>91.70</w:t>
            </w:r>
          </w:p>
        </w:tc>
        <w:tc>
          <w:tcPr>
            <w:tcW w:w="1390" w:type="dxa"/>
            <w:vAlign w:val="bottom"/>
          </w:tcPr>
          <w:p w14:paraId="0ADDEEEB" w14:textId="77777777" w:rsidR="00825666" w:rsidRPr="00F11CDC" w:rsidRDefault="00825666" w:rsidP="00F60E7C">
            <w:pPr>
              <w:contextualSpacing/>
              <w:jc w:val="center"/>
              <w:rPr>
                <w:rFonts w:ascii="Calibri" w:eastAsia="Times New Roman" w:hAnsi="Calibri" w:cs="Calibri"/>
                <w:sz w:val="20"/>
                <w:szCs w:val="20"/>
              </w:rPr>
            </w:pPr>
            <w:r w:rsidRPr="00F11CDC">
              <w:rPr>
                <w:rFonts w:ascii="Calibri" w:eastAsia="Times New Roman" w:hAnsi="Calibri" w:cs="Calibri"/>
                <w:sz w:val="20"/>
                <w:szCs w:val="20"/>
              </w:rPr>
              <w:t>74.18</w:t>
            </w:r>
          </w:p>
        </w:tc>
        <w:tc>
          <w:tcPr>
            <w:tcW w:w="1390" w:type="dxa"/>
            <w:vAlign w:val="bottom"/>
          </w:tcPr>
          <w:p w14:paraId="7F236A49" w14:textId="77777777" w:rsidR="00825666" w:rsidRPr="00F11CDC" w:rsidRDefault="00825666" w:rsidP="00F60E7C">
            <w:pPr>
              <w:contextualSpacing/>
              <w:jc w:val="center"/>
              <w:rPr>
                <w:rFonts w:ascii="Calibri" w:eastAsia="Times New Roman" w:hAnsi="Calibri" w:cs="Calibri"/>
                <w:sz w:val="20"/>
                <w:szCs w:val="20"/>
              </w:rPr>
            </w:pPr>
            <w:r w:rsidRPr="00F11CDC">
              <w:rPr>
                <w:rFonts w:ascii="Calibri" w:eastAsia="Times New Roman" w:hAnsi="Calibri" w:cs="Calibri"/>
                <w:sz w:val="20"/>
                <w:szCs w:val="20"/>
              </w:rPr>
              <w:t>105.98</w:t>
            </w:r>
          </w:p>
        </w:tc>
      </w:tr>
      <w:tr w:rsidR="00825666" w:rsidRPr="00F11CDC" w14:paraId="2D2BDF6D" w14:textId="77777777" w:rsidTr="00033521">
        <w:tc>
          <w:tcPr>
            <w:tcW w:w="2628" w:type="dxa"/>
            <w:vAlign w:val="bottom"/>
          </w:tcPr>
          <w:p w14:paraId="0CAAEA7B" w14:textId="77777777" w:rsidR="00825666" w:rsidRPr="00F11CDC" w:rsidRDefault="00825666" w:rsidP="00F60E7C">
            <w:pPr>
              <w:contextualSpacing/>
              <w:jc w:val="center"/>
              <w:rPr>
                <w:rFonts w:ascii="Calibri" w:eastAsia="Times New Roman" w:hAnsi="Calibri" w:cs="Calibri"/>
                <w:color w:val="000000"/>
                <w:sz w:val="20"/>
                <w:szCs w:val="20"/>
              </w:rPr>
            </w:pPr>
            <w:r w:rsidRPr="00F11CDC">
              <w:rPr>
                <w:rFonts w:ascii="Calibri" w:eastAsia="Times New Roman" w:hAnsi="Calibri" w:cs="Calibri"/>
                <w:color w:val="000000"/>
                <w:sz w:val="20"/>
                <w:szCs w:val="20"/>
              </w:rPr>
              <w:t>3.00</w:t>
            </w:r>
          </w:p>
        </w:tc>
        <w:tc>
          <w:tcPr>
            <w:tcW w:w="1389" w:type="dxa"/>
            <w:vAlign w:val="bottom"/>
          </w:tcPr>
          <w:p w14:paraId="13F22164" w14:textId="77777777" w:rsidR="00825666" w:rsidRPr="00F11CDC" w:rsidRDefault="00825666" w:rsidP="00F60E7C">
            <w:pPr>
              <w:contextualSpacing/>
              <w:jc w:val="center"/>
              <w:rPr>
                <w:rFonts w:ascii="Calibri" w:eastAsia="Times New Roman" w:hAnsi="Calibri" w:cs="Calibri"/>
                <w:color w:val="000000"/>
                <w:sz w:val="20"/>
                <w:szCs w:val="20"/>
              </w:rPr>
            </w:pPr>
            <w:r w:rsidRPr="00F11CDC">
              <w:rPr>
                <w:rFonts w:ascii="Calibri" w:eastAsia="Times New Roman" w:hAnsi="Calibri" w:cs="Calibri"/>
                <w:color w:val="000000"/>
                <w:sz w:val="20"/>
                <w:szCs w:val="20"/>
              </w:rPr>
              <w:t>91.86</w:t>
            </w:r>
          </w:p>
        </w:tc>
        <w:tc>
          <w:tcPr>
            <w:tcW w:w="1390" w:type="dxa"/>
            <w:vAlign w:val="bottom"/>
          </w:tcPr>
          <w:p w14:paraId="4AF7AF5A" w14:textId="77777777" w:rsidR="00825666" w:rsidRPr="00F11CDC" w:rsidRDefault="00825666" w:rsidP="00F60E7C">
            <w:pPr>
              <w:contextualSpacing/>
              <w:jc w:val="center"/>
              <w:rPr>
                <w:rFonts w:ascii="Calibri" w:eastAsia="Times New Roman" w:hAnsi="Calibri" w:cs="Calibri"/>
                <w:sz w:val="20"/>
                <w:szCs w:val="20"/>
              </w:rPr>
            </w:pPr>
            <w:r w:rsidRPr="00F11CDC">
              <w:rPr>
                <w:rFonts w:ascii="Calibri" w:hAnsi="Calibri" w:cs="Calibri"/>
                <w:sz w:val="20"/>
                <w:szCs w:val="20"/>
              </w:rPr>
              <w:t>89.67</w:t>
            </w:r>
          </w:p>
        </w:tc>
        <w:tc>
          <w:tcPr>
            <w:tcW w:w="1389" w:type="dxa"/>
            <w:vAlign w:val="bottom"/>
          </w:tcPr>
          <w:p w14:paraId="1B0EE81D" w14:textId="77777777" w:rsidR="00825666" w:rsidRPr="00F11CDC" w:rsidRDefault="00825666" w:rsidP="00F60E7C">
            <w:pPr>
              <w:contextualSpacing/>
              <w:jc w:val="center"/>
              <w:rPr>
                <w:rFonts w:ascii="Calibri" w:eastAsia="Times New Roman" w:hAnsi="Calibri" w:cs="Calibri"/>
                <w:sz w:val="20"/>
                <w:szCs w:val="20"/>
              </w:rPr>
            </w:pPr>
            <w:r w:rsidRPr="00F11CDC">
              <w:rPr>
                <w:rFonts w:ascii="Calibri" w:hAnsi="Calibri" w:cs="Calibri"/>
                <w:sz w:val="20"/>
                <w:szCs w:val="20"/>
              </w:rPr>
              <w:t>93.24</w:t>
            </w:r>
          </w:p>
        </w:tc>
        <w:tc>
          <w:tcPr>
            <w:tcW w:w="1390" w:type="dxa"/>
            <w:vAlign w:val="bottom"/>
          </w:tcPr>
          <w:p w14:paraId="25EB60E7" w14:textId="77777777" w:rsidR="00825666" w:rsidRPr="00F11CDC" w:rsidRDefault="00825666" w:rsidP="00F60E7C">
            <w:pPr>
              <w:contextualSpacing/>
              <w:jc w:val="center"/>
              <w:rPr>
                <w:rFonts w:ascii="Calibri" w:eastAsia="Times New Roman" w:hAnsi="Calibri" w:cs="Calibri"/>
                <w:sz w:val="20"/>
                <w:szCs w:val="20"/>
              </w:rPr>
            </w:pPr>
            <w:r w:rsidRPr="00F11CDC">
              <w:rPr>
                <w:rFonts w:ascii="Calibri" w:eastAsia="Times New Roman" w:hAnsi="Calibri" w:cs="Calibri"/>
                <w:sz w:val="20"/>
                <w:szCs w:val="20"/>
              </w:rPr>
              <w:t>75.30</w:t>
            </w:r>
          </w:p>
        </w:tc>
        <w:tc>
          <w:tcPr>
            <w:tcW w:w="1390" w:type="dxa"/>
            <w:vAlign w:val="bottom"/>
          </w:tcPr>
          <w:p w14:paraId="51F13284" w14:textId="77777777" w:rsidR="00825666" w:rsidRPr="00F11CDC" w:rsidRDefault="00825666" w:rsidP="00F60E7C">
            <w:pPr>
              <w:contextualSpacing/>
              <w:jc w:val="center"/>
              <w:rPr>
                <w:rFonts w:ascii="Calibri" w:eastAsia="Times New Roman" w:hAnsi="Calibri" w:cs="Calibri"/>
                <w:sz w:val="20"/>
                <w:szCs w:val="20"/>
              </w:rPr>
            </w:pPr>
            <w:r w:rsidRPr="00F11CDC">
              <w:rPr>
                <w:rFonts w:ascii="Calibri" w:eastAsia="Times New Roman" w:hAnsi="Calibri" w:cs="Calibri"/>
                <w:sz w:val="20"/>
                <w:szCs w:val="20"/>
              </w:rPr>
              <w:t>107.57</w:t>
            </w:r>
          </w:p>
        </w:tc>
      </w:tr>
      <w:tr w:rsidR="00825666" w:rsidRPr="00F11CDC" w14:paraId="0B67805A" w14:textId="77777777" w:rsidTr="00033521">
        <w:tc>
          <w:tcPr>
            <w:tcW w:w="2628" w:type="dxa"/>
            <w:vAlign w:val="bottom"/>
          </w:tcPr>
          <w:p w14:paraId="07271A8A" w14:textId="2C281B9C" w:rsidR="00825666" w:rsidRPr="00F11CDC" w:rsidRDefault="00825666" w:rsidP="00F60E7C">
            <w:pPr>
              <w:contextualSpacing/>
              <w:jc w:val="center"/>
              <w:rPr>
                <w:rFonts w:ascii="Calibri" w:eastAsia="Times New Roman" w:hAnsi="Calibri" w:cs="Calibri"/>
                <w:color w:val="000000"/>
                <w:sz w:val="20"/>
                <w:szCs w:val="20"/>
              </w:rPr>
            </w:pPr>
            <w:r w:rsidRPr="00F11CDC">
              <w:rPr>
                <w:rFonts w:ascii="Calibri" w:eastAsia="Times New Roman" w:hAnsi="Calibri" w:cs="Calibri"/>
                <w:color w:val="000000"/>
                <w:sz w:val="20"/>
                <w:szCs w:val="20"/>
              </w:rPr>
              <w:t>Average effect of 1</w:t>
            </w:r>
            <w:r w:rsidR="00AF599B">
              <w:rPr>
                <w:rFonts w:ascii="Calibri" w:eastAsia="Times New Roman" w:hAnsi="Calibri" w:cs="Calibri"/>
                <w:color w:val="000000"/>
                <w:sz w:val="20"/>
                <w:szCs w:val="20"/>
              </w:rPr>
              <w:t>%</w:t>
            </w:r>
            <w:r w:rsidRPr="00F11CDC">
              <w:rPr>
                <w:rFonts w:ascii="Calibri" w:eastAsia="Times New Roman" w:hAnsi="Calibri" w:cs="Calibri"/>
                <w:color w:val="000000"/>
                <w:sz w:val="20"/>
                <w:szCs w:val="20"/>
              </w:rPr>
              <w:t xml:space="preserve"> increase</w:t>
            </w:r>
          </w:p>
        </w:tc>
        <w:tc>
          <w:tcPr>
            <w:tcW w:w="1389" w:type="dxa"/>
            <w:vAlign w:val="bottom"/>
          </w:tcPr>
          <w:p w14:paraId="0231CD9E" w14:textId="77777777" w:rsidR="00825666" w:rsidRPr="00F11CDC" w:rsidRDefault="00825666" w:rsidP="00F60E7C">
            <w:pPr>
              <w:contextualSpacing/>
              <w:jc w:val="center"/>
              <w:rPr>
                <w:rFonts w:ascii="Calibri" w:eastAsia="Times New Roman" w:hAnsi="Calibri" w:cs="Calibri"/>
                <w:color w:val="000000"/>
                <w:sz w:val="20"/>
                <w:szCs w:val="20"/>
              </w:rPr>
            </w:pPr>
            <w:r w:rsidRPr="00F11CDC">
              <w:rPr>
                <w:rFonts w:ascii="Calibri" w:eastAsia="Times New Roman" w:hAnsi="Calibri" w:cs="Calibri"/>
                <w:color w:val="000000"/>
                <w:sz w:val="20"/>
                <w:szCs w:val="20"/>
              </w:rPr>
              <w:t>-1.62</w:t>
            </w:r>
          </w:p>
        </w:tc>
        <w:tc>
          <w:tcPr>
            <w:tcW w:w="1390" w:type="dxa"/>
            <w:vAlign w:val="bottom"/>
          </w:tcPr>
          <w:p w14:paraId="4BA9E3B0" w14:textId="77777777" w:rsidR="00825666" w:rsidRPr="00F11CDC" w:rsidRDefault="00825666" w:rsidP="00F60E7C">
            <w:pPr>
              <w:contextualSpacing/>
              <w:jc w:val="center"/>
              <w:rPr>
                <w:rFonts w:ascii="Calibri" w:eastAsia="Times New Roman" w:hAnsi="Calibri" w:cs="Calibri"/>
                <w:sz w:val="20"/>
                <w:szCs w:val="20"/>
              </w:rPr>
            </w:pPr>
            <w:r w:rsidRPr="00F11CDC">
              <w:rPr>
                <w:rFonts w:ascii="Calibri" w:hAnsi="Calibri" w:cs="Calibri"/>
                <w:sz w:val="20"/>
                <w:szCs w:val="20"/>
              </w:rPr>
              <w:t>-0.21</w:t>
            </w:r>
          </w:p>
        </w:tc>
        <w:tc>
          <w:tcPr>
            <w:tcW w:w="1389" w:type="dxa"/>
            <w:vAlign w:val="bottom"/>
          </w:tcPr>
          <w:p w14:paraId="4F90C71B" w14:textId="77777777" w:rsidR="00825666" w:rsidRPr="00F11CDC" w:rsidRDefault="00825666" w:rsidP="00F60E7C">
            <w:pPr>
              <w:contextualSpacing/>
              <w:jc w:val="center"/>
              <w:rPr>
                <w:rFonts w:ascii="Calibri" w:eastAsia="Times New Roman" w:hAnsi="Calibri" w:cs="Calibri"/>
                <w:sz w:val="20"/>
                <w:szCs w:val="20"/>
              </w:rPr>
            </w:pPr>
            <w:r w:rsidRPr="00F11CDC">
              <w:rPr>
                <w:rFonts w:ascii="Calibri" w:hAnsi="Calibri" w:cs="Calibri"/>
                <w:sz w:val="20"/>
                <w:szCs w:val="20"/>
              </w:rPr>
              <w:t>-2.43</w:t>
            </w:r>
          </w:p>
        </w:tc>
        <w:tc>
          <w:tcPr>
            <w:tcW w:w="1390" w:type="dxa"/>
            <w:vAlign w:val="bottom"/>
          </w:tcPr>
          <w:p w14:paraId="0033446F" w14:textId="77777777" w:rsidR="00825666" w:rsidRPr="00F11CDC" w:rsidRDefault="00825666" w:rsidP="00F60E7C">
            <w:pPr>
              <w:contextualSpacing/>
              <w:jc w:val="center"/>
              <w:rPr>
                <w:rFonts w:ascii="Calibri" w:eastAsia="Times New Roman" w:hAnsi="Calibri" w:cs="Calibri"/>
                <w:sz w:val="20"/>
                <w:szCs w:val="20"/>
              </w:rPr>
            </w:pPr>
            <w:r w:rsidRPr="00F11CDC">
              <w:rPr>
                <w:rFonts w:ascii="Calibri" w:eastAsia="Times New Roman" w:hAnsi="Calibri" w:cs="Calibri"/>
                <w:sz w:val="20"/>
                <w:szCs w:val="20"/>
              </w:rPr>
              <w:t>-1.33</w:t>
            </w:r>
          </w:p>
        </w:tc>
        <w:tc>
          <w:tcPr>
            <w:tcW w:w="1390" w:type="dxa"/>
            <w:vAlign w:val="bottom"/>
          </w:tcPr>
          <w:p w14:paraId="49D4FFD6" w14:textId="77777777" w:rsidR="00825666" w:rsidRPr="00F11CDC" w:rsidRDefault="00825666" w:rsidP="00F60E7C">
            <w:pPr>
              <w:contextualSpacing/>
              <w:jc w:val="center"/>
              <w:rPr>
                <w:rFonts w:ascii="Calibri" w:eastAsia="Times New Roman" w:hAnsi="Calibri" w:cs="Calibri"/>
                <w:sz w:val="20"/>
                <w:szCs w:val="20"/>
              </w:rPr>
            </w:pPr>
            <w:r w:rsidRPr="00F11CDC">
              <w:rPr>
                <w:rFonts w:ascii="Calibri" w:eastAsia="Times New Roman" w:hAnsi="Calibri" w:cs="Calibri"/>
                <w:sz w:val="20"/>
                <w:szCs w:val="20"/>
              </w:rPr>
              <w:t>-1.90</w:t>
            </w:r>
          </w:p>
        </w:tc>
      </w:tr>
      <w:tr w:rsidR="00825666" w:rsidRPr="00F11CDC" w14:paraId="399250FE" w14:textId="77777777" w:rsidTr="00033521">
        <w:tc>
          <w:tcPr>
            <w:tcW w:w="9576" w:type="dxa"/>
            <w:gridSpan w:val="6"/>
            <w:vAlign w:val="bottom"/>
          </w:tcPr>
          <w:p w14:paraId="1CB3A2C3" w14:textId="77777777" w:rsidR="00825666" w:rsidRPr="00F11CDC" w:rsidRDefault="00825666" w:rsidP="00F60E7C">
            <w:pPr>
              <w:contextualSpacing/>
              <w:rPr>
                <w:rFonts w:ascii="Calibri" w:eastAsia="Times New Roman" w:hAnsi="Calibri" w:cs="Calibri"/>
                <w:b/>
                <w:color w:val="000000"/>
                <w:sz w:val="20"/>
                <w:szCs w:val="20"/>
              </w:rPr>
            </w:pPr>
          </w:p>
          <w:p w14:paraId="3277D0CF" w14:textId="77777777" w:rsidR="00825666" w:rsidRPr="00F11CDC" w:rsidRDefault="00825666" w:rsidP="00F60E7C">
            <w:pPr>
              <w:contextualSpacing/>
              <w:rPr>
                <w:rFonts w:ascii="Calibri" w:eastAsia="Times New Roman" w:hAnsi="Calibri" w:cs="Calibri"/>
                <w:b/>
                <w:sz w:val="20"/>
                <w:szCs w:val="20"/>
              </w:rPr>
            </w:pPr>
            <w:r w:rsidRPr="00F11CDC">
              <w:rPr>
                <w:rFonts w:ascii="Calibri" w:eastAsia="Times New Roman" w:hAnsi="Calibri" w:cs="Calibri"/>
                <w:b/>
                <w:color w:val="000000"/>
                <w:sz w:val="20"/>
                <w:szCs w:val="20"/>
              </w:rPr>
              <w:t>Panel C: Cost Method (EAN is the most commonly observed type)</w:t>
            </w:r>
          </w:p>
        </w:tc>
      </w:tr>
      <w:tr w:rsidR="00825666" w:rsidRPr="00F11CDC" w14:paraId="51F5D144" w14:textId="77777777" w:rsidTr="00033521">
        <w:tc>
          <w:tcPr>
            <w:tcW w:w="2628" w:type="dxa"/>
            <w:vAlign w:val="bottom"/>
          </w:tcPr>
          <w:p w14:paraId="3D39F82A" w14:textId="77777777" w:rsidR="00825666" w:rsidRPr="00F11CDC" w:rsidRDefault="00825666" w:rsidP="00F60E7C">
            <w:pPr>
              <w:contextualSpacing/>
              <w:jc w:val="center"/>
              <w:rPr>
                <w:rFonts w:ascii="Calibri" w:eastAsia="Times New Roman" w:hAnsi="Calibri" w:cs="Calibri"/>
                <w:color w:val="000000"/>
                <w:sz w:val="20"/>
                <w:szCs w:val="20"/>
              </w:rPr>
            </w:pPr>
            <w:r w:rsidRPr="00F11CDC">
              <w:rPr>
                <w:rFonts w:ascii="Calibri" w:eastAsia="Times New Roman" w:hAnsi="Calibri" w:cs="Calibri"/>
                <w:color w:val="000000"/>
                <w:sz w:val="20"/>
                <w:szCs w:val="20"/>
              </w:rPr>
              <w:t>EAN</w:t>
            </w:r>
          </w:p>
        </w:tc>
        <w:tc>
          <w:tcPr>
            <w:tcW w:w="1389" w:type="dxa"/>
            <w:shd w:val="clear" w:color="auto" w:fill="D9D9D9" w:themeFill="background1" w:themeFillShade="D9"/>
            <w:vAlign w:val="bottom"/>
          </w:tcPr>
          <w:p w14:paraId="73F23F91" w14:textId="77777777" w:rsidR="00825666" w:rsidRPr="00F11CDC" w:rsidRDefault="00825666" w:rsidP="00F60E7C">
            <w:pPr>
              <w:contextualSpacing/>
              <w:jc w:val="center"/>
              <w:rPr>
                <w:rFonts w:ascii="Calibri" w:eastAsia="Times New Roman" w:hAnsi="Calibri" w:cs="Calibri"/>
                <w:color w:val="000000"/>
                <w:sz w:val="20"/>
                <w:szCs w:val="20"/>
              </w:rPr>
            </w:pPr>
            <w:r w:rsidRPr="00F11CDC">
              <w:rPr>
                <w:rFonts w:ascii="Calibri" w:eastAsia="Times New Roman" w:hAnsi="Calibri" w:cs="Calibri"/>
                <w:color w:val="000000"/>
                <w:sz w:val="20"/>
                <w:szCs w:val="20"/>
              </w:rPr>
              <w:t>85.40</w:t>
            </w:r>
          </w:p>
        </w:tc>
        <w:tc>
          <w:tcPr>
            <w:tcW w:w="1390" w:type="dxa"/>
            <w:vAlign w:val="bottom"/>
          </w:tcPr>
          <w:p w14:paraId="2F7D957D" w14:textId="77777777" w:rsidR="00825666" w:rsidRPr="00F11CDC" w:rsidRDefault="00825666" w:rsidP="00F60E7C">
            <w:pPr>
              <w:contextualSpacing/>
              <w:jc w:val="center"/>
              <w:rPr>
                <w:rFonts w:ascii="Calibri" w:eastAsia="Times New Roman" w:hAnsi="Calibri" w:cs="Calibri"/>
                <w:sz w:val="20"/>
                <w:szCs w:val="20"/>
              </w:rPr>
            </w:pPr>
            <w:r w:rsidRPr="00F11CDC">
              <w:rPr>
                <w:rFonts w:ascii="Calibri" w:hAnsi="Calibri" w:cs="Calibri"/>
                <w:sz w:val="20"/>
                <w:szCs w:val="20"/>
              </w:rPr>
              <w:t>85.40</w:t>
            </w:r>
          </w:p>
        </w:tc>
        <w:tc>
          <w:tcPr>
            <w:tcW w:w="1389" w:type="dxa"/>
            <w:vAlign w:val="bottom"/>
          </w:tcPr>
          <w:p w14:paraId="7FDCA0F7" w14:textId="77777777" w:rsidR="00825666" w:rsidRPr="00F11CDC" w:rsidRDefault="00825666" w:rsidP="00F60E7C">
            <w:pPr>
              <w:contextualSpacing/>
              <w:jc w:val="center"/>
              <w:rPr>
                <w:rFonts w:ascii="Calibri" w:eastAsia="Times New Roman" w:hAnsi="Calibri" w:cs="Calibri"/>
                <w:sz w:val="20"/>
                <w:szCs w:val="20"/>
              </w:rPr>
            </w:pPr>
            <w:r w:rsidRPr="00F11CDC">
              <w:rPr>
                <w:rFonts w:ascii="Calibri" w:hAnsi="Calibri" w:cs="Calibri"/>
                <w:sz w:val="20"/>
                <w:szCs w:val="20"/>
              </w:rPr>
              <w:t>85.40</w:t>
            </w:r>
          </w:p>
        </w:tc>
        <w:tc>
          <w:tcPr>
            <w:tcW w:w="1390" w:type="dxa"/>
            <w:vAlign w:val="bottom"/>
          </w:tcPr>
          <w:p w14:paraId="4E182BA6" w14:textId="77777777" w:rsidR="00825666" w:rsidRPr="00F11CDC" w:rsidRDefault="00825666" w:rsidP="00F60E7C">
            <w:pPr>
              <w:contextualSpacing/>
              <w:jc w:val="center"/>
              <w:rPr>
                <w:rFonts w:ascii="Calibri" w:eastAsia="Times New Roman" w:hAnsi="Calibri" w:cs="Calibri"/>
                <w:sz w:val="20"/>
                <w:szCs w:val="20"/>
              </w:rPr>
            </w:pPr>
            <w:r w:rsidRPr="00F11CDC">
              <w:rPr>
                <w:rFonts w:ascii="Calibri" w:eastAsia="Times New Roman" w:hAnsi="Calibri" w:cs="Calibri"/>
                <w:sz w:val="20"/>
                <w:szCs w:val="20"/>
              </w:rPr>
              <w:t>70.00</w:t>
            </w:r>
          </w:p>
        </w:tc>
        <w:tc>
          <w:tcPr>
            <w:tcW w:w="1390" w:type="dxa"/>
            <w:vAlign w:val="bottom"/>
          </w:tcPr>
          <w:p w14:paraId="104F6C2E" w14:textId="77777777" w:rsidR="00825666" w:rsidRPr="00F11CDC" w:rsidRDefault="00825666" w:rsidP="00F60E7C">
            <w:pPr>
              <w:contextualSpacing/>
              <w:jc w:val="center"/>
              <w:rPr>
                <w:rFonts w:ascii="Calibri" w:eastAsia="Times New Roman" w:hAnsi="Calibri" w:cs="Calibri"/>
                <w:sz w:val="20"/>
                <w:szCs w:val="20"/>
              </w:rPr>
            </w:pPr>
            <w:r w:rsidRPr="00F11CDC">
              <w:rPr>
                <w:rFonts w:ascii="Calibri" w:eastAsia="Times New Roman" w:hAnsi="Calibri" w:cs="Calibri"/>
                <w:sz w:val="20"/>
                <w:szCs w:val="20"/>
              </w:rPr>
              <w:t>100.00</w:t>
            </w:r>
          </w:p>
        </w:tc>
      </w:tr>
      <w:tr w:rsidR="00825666" w:rsidRPr="00F11CDC" w14:paraId="48320D58" w14:textId="77777777" w:rsidTr="00033521">
        <w:tc>
          <w:tcPr>
            <w:tcW w:w="2628" w:type="dxa"/>
            <w:tcBorders>
              <w:bottom w:val="single" w:sz="4" w:space="0" w:color="auto"/>
            </w:tcBorders>
            <w:vAlign w:val="bottom"/>
          </w:tcPr>
          <w:p w14:paraId="5E69EC27" w14:textId="77777777" w:rsidR="00825666" w:rsidRPr="00F11CDC" w:rsidRDefault="00825666" w:rsidP="00F60E7C">
            <w:pPr>
              <w:contextualSpacing/>
              <w:jc w:val="center"/>
              <w:rPr>
                <w:rFonts w:ascii="Calibri" w:eastAsia="Times New Roman" w:hAnsi="Calibri" w:cs="Calibri"/>
                <w:color w:val="000000"/>
                <w:sz w:val="20"/>
                <w:szCs w:val="20"/>
              </w:rPr>
            </w:pPr>
            <w:r w:rsidRPr="00F11CDC">
              <w:rPr>
                <w:rFonts w:ascii="Calibri" w:eastAsia="Times New Roman" w:hAnsi="Calibri" w:cs="Calibri"/>
                <w:color w:val="000000"/>
                <w:sz w:val="20"/>
                <w:szCs w:val="20"/>
              </w:rPr>
              <w:t>PUC</w:t>
            </w:r>
          </w:p>
        </w:tc>
        <w:tc>
          <w:tcPr>
            <w:tcW w:w="1389" w:type="dxa"/>
            <w:tcBorders>
              <w:bottom w:val="single" w:sz="4" w:space="0" w:color="auto"/>
            </w:tcBorders>
            <w:vAlign w:val="bottom"/>
          </w:tcPr>
          <w:p w14:paraId="209574D4" w14:textId="77777777" w:rsidR="00825666" w:rsidRPr="00F11CDC" w:rsidRDefault="00825666" w:rsidP="00F60E7C">
            <w:pPr>
              <w:contextualSpacing/>
              <w:jc w:val="center"/>
              <w:rPr>
                <w:rFonts w:ascii="Calibri" w:eastAsia="Times New Roman" w:hAnsi="Calibri" w:cs="Calibri"/>
                <w:color w:val="000000"/>
                <w:sz w:val="20"/>
                <w:szCs w:val="20"/>
              </w:rPr>
            </w:pPr>
            <w:r w:rsidRPr="00F11CDC">
              <w:rPr>
                <w:rFonts w:ascii="Calibri" w:eastAsia="Times New Roman" w:hAnsi="Calibri" w:cs="Calibri"/>
                <w:color w:val="000000"/>
                <w:sz w:val="20"/>
                <w:szCs w:val="20"/>
              </w:rPr>
              <w:t>89.68</w:t>
            </w:r>
          </w:p>
        </w:tc>
        <w:tc>
          <w:tcPr>
            <w:tcW w:w="1390" w:type="dxa"/>
            <w:tcBorders>
              <w:bottom w:val="single" w:sz="4" w:space="0" w:color="auto"/>
            </w:tcBorders>
            <w:vAlign w:val="bottom"/>
          </w:tcPr>
          <w:p w14:paraId="20AFA8A2" w14:textId="77777777" w:rsidR="00825666" w:rsidRPr="00F11CDC" w:rsidRDefault="00825666" w:rsidP="00F60E7C">
            <w:pPr>
              <w:contextualSpacing/>
              <w:jc w:val="center"/>
              <w:rPr>
                <w:rFonts w:ascii="Calibri" w:eastAsia="Times New Roman" w:hAnsi="Calibri" w:cs="Calibri"/>
                <w:sz w:val="20"/>
                <w:szCs w:val="20"/>
              </w:rPr>
            </w:pPr>
            <w:r w:rsidRPr="00F11CDC">
              <w:rPr>
                <w:rFonts w:ascii="Calibri" w:hAnsi="Calibri" w:cs="Calibri"/>
                <w:sz w:val="20"/>
                <w:szCs w:val="20"/>
              </w:rPr>
              <w:t>90.03</w:t>
            </w:r>
          </w:p>
        </w:tc>
        <w:tc>
          <w:tcPr>
            <w:tcW w:w="1389" w:type="dxa"/>
            <w:tcBorders>
              <w:bottom w:val="single" w:sz="4" w:space="0" w:color="auto"/>
            </w:tcBorders>
            <w:vAlign w:val="bottom"/>
          </w:tcPr>
          <w:p w14:paraId="0DE50A7F" w14:textId="77777777" w:rsidR="00825666" w:rsidRPr="00F11CDC" w:rsidRDefault="00825666" w:rsidP="00F60E7C">
            <w:pPr>
              <w:contextualSpacing/>
              <w:jc w:val="center"/>
              <w:rPr>
                <w:rFonts w:ascii="Calibri" w:eastAsia="Times New Roman" w:hAnsi="Calibri" w:cs="Calibri"/>
                <w:sz w:val="20"/>
                <w:szCs w:val="20"/>
              </w:rPr>
            </w:pPr>
            <w:r w:rsidRPr="00F11CDC">
              <w:rPr>
                <w:rFonts w:ascii="Calibri" w:hAnsi="Calibri" w:cs="Calibri"/>
                <w:sz w:val="20"/>
                <w:szCs w:val="20"/>
              </w:rPr>
              <w:t>89.48</w:t>
            </w:r>
          </w:p>
        </w:tc>
        <w:tc>
          <w:tcPr>
            <w:tcW w:w="1390" w:type="dxa"/>
            <w:tcBorders>
              <w:bottom w:val="single" w:sz="4" w:space="0" w:color="auto"/>
            </w:tcBorders>
            <w:vAlign w:val="bottom"/>
          </w:tcPr>
          <w:p w14:paraId="26D07418" w14:textId="77777777" w:rsidR="00825666" w:rsidRPr="00F11CDC" w:rsidRDefault="00825666" w:rsidP="00F60E7C">
            <w:pPr>
              <w:contextualSpacing/>
              <w:jc w:val="center"/>
              <w:rPr>
                <w:rFonts w:ascii="Calibri" w:eastAsia="Times New Roman" w:hAnsi="Calibri" w:cs="Calibri"/>
                <w:sz w:val="20"/>
                <w:szCs w:val="20"/>
              </w:rPr>
            </w:pPr>
            <w:r w:rsidRPr="00F11CDC">
              <w:rPr>
                <w:rFonts w:ascii="Calibri" w:eastAsia="Times New Roman" w:hAnsi="Calibri" w:cs="Calibri"/>
                <w:sz w:val="20"/>
                <w:szCs w:val="20"/>
              </w:rPr>
              <w:t>73.51</w:t>
            </w:r>
          </w:p>
        </w:tc>
        <w:tc>
          <w:tcPr>
            <w:tcW w:w="1390" w:type="dxa"/>
            <w:tcBorders>
              <w:bottom w:val="single" w:sz="4" w:space="0" w:color="auto"/>
            </w:tcBorders>
            <w:vAlign w:val="bottom"/>
          </w:tcPr>
          <w:p w14:paraId="26027AE9" w14:textId="77777777" w:rsidR="00825666" w:rsidRPr="00F11CDC" w:rsidRDefault="00825666" w:rsidP="00F60E7C">
            <w:pPr>
              <w:contextualSpacing/>
              <w:jc w:val="center"/>
              <w:rPr>
                <w:rFonts w:ascii="Calibri" w:eastAsia="Times New Roman" w:hAnsi="Calibri" w:cs="Calibri"/>
                <w:sz w:val="20"/>
                <w:szCs w:val="20"/>
              </w:rPr>
            </w:pPr>
            <w:r w:rsidRPr="00F11CDC">
              <w:rPr>
                <w:rFonts w:ascii="Calibri" w:eastAsia="Times New Roman" w:hAnsi="Calibri" w:cs="Calibri"/>
                <w:sz w:val="20"/>
                <w:szCs w:val="20"/>
              </w:rPr>
              <w:t>105.02</w:t>
            </w:r>
          </w:p>
        </w:tc>
      </w:tr>
      <w:tr w:rsidR="00825666" w:rsidRPr="00F11CDC" w14:paraId="268E5349" w14:textId="77777777" w:rsidTr="00033521">
        <w:tc>
          <w:tcPr>
            <w:tcW w:w="9576" w:type="dxa"/>
            <w:gridSpan w:val="6"/>
            <w:vAlign w:val="bottom"/>
          </w:tcPr>
          <w:p w14:paraId="4336B47F" w14:textId="77777777" w:rsidR="00825666" w:rsidRPr="00F11CDC" w:rsidRDefault="00825666" w:rsidP="00F60E7C">
            <w:pPr>
              <w:contextualSpacing/>
              <w:rPr>
                <w:rFonts w:ascii="Calibri" w:eastAsia="Times New Roman" w:hAnsi="Calibri" w:cs="Calibri"/>
                <w:b/>
                <w:color w:val="000000"/>
                <w:sz w:val="20"/>
                <w:szCs w:val="20"/>
              </w:rPr>
            </w:pPr>
          </w:p>
          <w:p w14:paraId="24B74993" w14:textId="77777777" w:rsidR="00825666" w:rsidRPr="00F11CDC" w:rsidRDefault="00825666" w:rsidP="00F60E7C">
            <w:pPr>
              <w:contextualSpacing/>
              <w:rPr>
                <w:rFonts w:ascii="Calibri" w:eastAsia="Times New Roman" w:hAnsi="Calibri" w:cs="Calibri"/>
                <w:b/>
                <w:sz w:val="20"/>
                <w:szCs w:val="20"/>
              </w:rPr>
            </w:pPr>
            <w:r w:rsidRPr="00F11CDC">
              <w:rPr>
                <w:rFonts w:ascii="Calibri" w:eastAsia="Times New Roman" w:hAnsi="Calibri" w:cs="Calibri"/>
                <w:b/>
                <w:color w:val="000000"/>
                <w:sz w:val="20"/>
                <w:szCs w:val="20"/>
              </w:rPr>
              <w:t>Panel D: Mortality Tables</w:t>
            </w:r>
            <w:r>
              <w:rPr>
                <w:rFonts w:ascii="Calibri" w:eastAsia="Times New Roman" w:hAnsi="Calibri" w:cs="Calibri"/>
                <w:b/>
                <w:color w:val="000000"/>
                <w:sz w:val="20"/>
                <w:szCs w:val="20"/>
              </w:rPr>
              <w:t xml:space="preserve"> (RP-2000 with projection is the most commonly observed type)</w:t>
            </w:r>
          </w:p>
        </w:tc>
      </w:tr>
      <w:tr w:rsidR="00825666" w:rsidRPr="00F11CDC" w14:paraId="53ADCCF2" w14:textId="77777777" w:rsidTr="00033521">
        <w:tc>
          <w:tcPr>
            <w:tcW w:w="2628" w:type="dxa"/>
            <w:vAlign w:val="bottom"/>
          </w:tcPr>
          <w:p w14:paraId="3D1DEAEA" w14:textId="77777777" w:rsidR="00825666" w:rsidRPr="00F11CDC" w:rsidRDefault="00825666" w:rsidP="00F60E7C">
            <w:pPr>
              <w:contextualSpacing/>
              <w:jc w:val="center"/>
              <w:rPr>
                <w:rFonts w:ascii="Calibri" w:eastAsia="Times New Roman" w:hAnsi="Calibri" w:cs="Calibri"/>
                <w:color w:val="000000"/>
                <w:sz w:val="20"/>
                <w:szCs w:val="20"/>
              </w:rPr>
            </w:pPr>
            <w:r w:rsidRPr="00F11CDC">
              <w:rPr>
                <w:rFonts w:ascii="Calibri" w:eastAsia="Times New Roman" w:hAnsi="Calibri" w:cs="Calibri"/>
                <w:color w:val="000000"/>
                <w:sz w:val="20"/>
                <w:szCs w:val="20"/>
              </w:rPr>
              <w:t>RP-2000</w:t>
            </w:r>
          </w:p>
        </w:tc>
        <w:tc>
          <w:tcPr>
            <w:tcW w:w="1389" w:type="dxa"/>
            <w:vAlign w:val="bottom"/>
          </w:tcPr>
          <w:p w14:paraId="3FC9F337" w14:textId="77777777" w:rsidR="00825666" w:rsidRPr="00F11CDC" w:rsidRDefault="00825666" w:rsidP="00F60E7C">
            <w:pPr>
              <w:contextualSpacing/>
              <w:jc w:val="center"/>
              <w:rPr>
                <w:rFonts w:ascii="Calibri" w:eastAsia="Times New Roman" w:hAnsi="Calibri" w:cs="Calibri"/>
                <w:color w:val="000000"/>
                <w:sz w:val="20"/>
                <w:szCs w:val="20"/>
              </w:rPr>
            </w:pPr>
            <w:r w:rsidRPr="00F11CDC">
              <w:rPr>
                <w:rFonts w:ascii="Calibri" w:eastAsia="Times New Roman" w:hAnsi="Calibri" w:cs="Calibri"/>
                <w:color w:val="000000"/>
                <w:sz w:val="20"/>
                <w:szCs w:val="20"/>
              </w:rPr>
              <w:t>87.68</w:t>
            </w:r>
          </w:p>
        </w:tc>
        <w:tc>
          <w:tcPr>
            <w:tcW w:w="1390" w:type="dxa"/>
            <w:vAlign w:val="bottom"/>
          </w:tcPr>
          <w:p w14:paraId="41846783" w14:textId="77777777" w:rsidR="00825666" w:rsidRPr="00F11CDC" w:rsidRDefault="00825666" w:rsidP="00F60E7C">
            <w:pPr>
              <w:contextualSpacing/>
              <w:jc w:val="center"/>
              <w:rPr>
                <w:rFonts w:ascii="Calibri" w:eastAsia="Times New Roman" w:hAnsi="Calibri" w:cs="Calibri"/>
                <w:sz w:val="20"/>
                <w:szCs w:val="20"/>
              </w:rPr>
            </w:pPr>
            <w:r w:rsidRPr="00F11CDC">
              <w:rPr>
                <w:rFonts w:ascii="Calibri" w:hAnsi="Calibri" w:cs="Calibri"/>
                <w:sz w:val="20"/>
                <w:szCs w:val="20"/>
              </w:rPr>
              <w:t>87.88</w:t>
            </w:r>
          </w:p>
        </w:tc>
        <w:tc>
          <w:tcPr>
            <w:tcW w:w="1389" w:type="dxa"/>
            <w:vAlign w:val="bottom"/>
          </w:tcPr>
          <w:p w14:paraId="0F83E0F6" w14:textId="77777777" w:rsidR="00825666" w:rsidRPr="00F11CDC" w:rsidRDefault="00825666" w:rsidP="00F60E7C">
            <w:pPr>
              <w:contextualSpacing/>
              <w:jc w:val="center"/>
              <w:rPr>
                <w:rFonts w:ascii="Calibri" w:eastAsia="Times New Roman" w:hAnsi="Calibri" w:cs="Calibri"/>
                <w:sz w:val="20"/>
                <w:szCs w:val="20"/>
              </w:rPr>
            </w:pPr>
            <w:r w:rsidRPr="00F11CDC">
              <w:rPr>
                <w:rFonts w:ascii="Calibri" w:hAnsi="Calibri" w:cs="Calibri"/>
                <w:sz w:val="20"/>
                <w:szCs w:val="20"/>
              </w:rPr>
              <w:t>87.57</w:t>
            </w:r>
          </w:p>
        </w:tc>
        <w:tc>
          <w:tcPr>
            <w:tcW w:w="1390" w:type="dxa"/>
            <w:vAlign w:val="bottom"/>
          </w:tcPr>
          <w:p w14:paraId="515A0513" w14:textId="77777777" w:rsidR="00825666" w:rsidRPr="00F11CDC" w:rsidRDefault="00825666" w:rsidP="00F60E7C">
            <w:pPr>
              <w:contextualSpacing/>
              <w:jc w:val="center"/>
              <w:rPr>
                <w:rFonts w:ascii="Calibri" w:eastAsia="Times New Roman" w:hAnsi="Calibri" w:cs="Calibri"/>
                <w:sz w:val="20"/>
                <w:szCs w:val="20"/>
              </w:rPr>
            </w:pPr>
            <w:r w:rsidRPr="00F11CDC">
              <w:rPr>
                <w:rFonts w:ascii="Calibri" w:eastAsia="Times New Roman" w:hAnsi="Calibri" w:cs="Calibri"/>
                <w:sz w:val="20"/>
                <w:szCs w:val="20"/>
              </w:rPr>
              <w:t>71.87</w:t>
            </w:r>
          </w:p>
        </w:tc>
        <w:tc>
          <w:tcPr>
            <w:tcW w:w="1390" w:type="dxa"/>
            <w:vAlign w:val="bottom"/>
          </w:tcPr>
          <w:p w14:paraId="05817D3A" w14:textId="77777777" w:rsidR="00825666" w:rsidRPr="00F11CDC" w:rsidRDefault="00825666" w:rsidP="00F60E7C">
            <w:pPr>
              <w:contextualSpacing/>
              <w:jc w:val="center"/>
              <w:rPr>
                <w:rFonts w:ascii="Calibri" w:eastAsia="Times New Roman" w:hAnsi="Calibri" w:cs="Calibri"/>
                <w:sz w:val="20"/>
                <w:szCs w:val="20"/>
              </w:rPr>
            </w:pPr>
            <w:r w:rsidRPr="00F11CDC">
              <w:rPr>
                <w:rFonts w:ascii="Calibri" w:eastAsia="Times New Roman" w:hAnsi="Calibri" w:cs="Calibri"/>
                <w:sz w:val="20"/>
                <w:szCs w:val="20"/>
              </w:rPr>
              <w:t>102.68</w:t>
            </w:r>
          </w:p>
        </w:tc>
      </w:tr>
      <w:tr w:rsidR="00825666" w:rsidRPr="00F11CDC" w14:paraId="3322D695" w14:textId="77777777" w:rsidTr="00033521">
        <w:tc>
          <w:tcPr>
            <w:tcW w:w="2628" w:type="dxa"/>
            <w:vAlign w:val="bottom"/>
          </w:tcPr>
          <w:p w14:paraId="4D9C4691" w14:textId="77777777" w:rsidR="00825666" w:rsidRPr="00F11CDC" w:rsidRDefault="00825666" w:rsidP="00F60E7C">
            <w:pPr>
              <w:contextualSpacing/>
              <w:jc w:val="center"/>
              <w:rPr>
                <w:rFonts w:ascii="Calibri" w:eastAsia="Times New Roman" w:hAnsi="Calibri" w:cs="Calibri"/>
                <w:color w:val="000000"/>
                <w:sz w:val="20"/>
                <w:szCs w:val="20"/>
              </w:rPr>
            </w:pPr>
            <w:r w:rsidRPr="00F11CDC">
              <w:rPr>
                <w:rFonts w:ascii="Calibri" w:eastAsia="Times New Roman" w:hAnsi="Calibri" w:cs="Calibri"/>
                <w:color w:val="000000"/>
                <w:sz w:val="20"/>
                <w:szCs w:val="20"/>
              </w:rPr>
              <w:t>RP-2000 with projection</w:t>
            </w:r>
          </w:p>
        </w:tc>
        <w:tc>
          <w:tcPr>
            <w:tcW w:w="1389" w:type="dxa"/>
            <w:shd w:val="clear" w:color="auto" w:fill="D9D9D9" w:themeFill="background1" w:themeFillShade="D9"/>
            <w:vAlign w:val="bottom"/>
          </w:tcPr>
          <w:p w14:paraId="7F4BFCAB" w14:textId="77777777" w:rsidR="00825666" w:rsidRPr="00F11CDC" w:rsidRDefault="00825666" w:rsidP="00F60E7C">
            <w:pPr>
              <w:contextualSpacing/>
              <w:jc w:val="center"/>
              <w:rPr>
                <w:rFonts w:ascii="Calibri" w:eastAsia="Times New Roman" w:hAnsi="Calibri" w:cs="Calibri"/>
                <w:color w:val="000000"/>
                <w:sz w:val="20"/>
                <w:szCs w:val="20"/>
              </w:rPr>
            </w:pPr>
            <w:r w:rsidRPr="00F11CDC">
              <w:rPr>
                <w:rFonts w:ascii="Calibri" w:eastAsia="Times New Roman" w:hAnsi="Calibri" w:cs="Calibri"/>
                <w:color w:val="000000"/>
                <w:sz w:val="20"/>
                <w:szCs w:val="20"/>
              </w:rPr>
              <w:t>85.40</w:t>
            </w:r>
          </w:p>
        </w:tc>
        <w:tc>
          <w:tcPr>
            <w:tcW w:w="1390" w:type="dxa"/>
            <w:vAlign w:val="bottom"/>
          </w:tcPr>
          <w:p w14:paraId="21291DB7" w14:textId="77777777" w:rsidR="00825666" w:rsidRPr="00F11CDC" w:rsidRDefault="00825666" w:rsidP="00F60E7C">
            <w:pPr>
              <w:contextualSpacing/>
              <w:jc w:val="center"/>
              <w:rPr>
                <w:rFonts w:ascii="Calibri" w:eastAsia="Times New Roman" w:hAnsi="Calibri" w:cs="Calibri"/>
                <w:sz w:val="20"/>
                <w:szCs w:val="20"/>
              </w:rPr>
            </w:pPr>
            <w:r w:rsidRPr="00F11CDC">
              <w:rPr>
                <w:rFonts w:ascii="Calibri" w:hAnsi="Calibri" w:cs="Calibri"/>
                <w:sz w:val="20"/>
                <w:szCs w:val="20"/>
              </w:rPr>
              <w:t>85.40</w:t>
            </w:r>
          </w:p>
        </w:tc>
        <w:tc>
          <w:tcPr>
            <w:tcW w:w="1389" w:type="dxa"/>
            <w:vAlign w:val="bottom"/>
          </w:tcPr>
          <w:p w14:paraId="4165B70B" w14:textId="77777777" w:rsidR="00825666" w:rsidRPr="00F11CDC" w:rsidRDefault="00825666" w:rsidP="00F60E7C">
            <w:pPr>
              <w:contextualSpacing/>
              <w:jc w:val="center"/>
              <w:rPr>
                <w:rFonts w:ascii="Calibri" w:eastAsia="Times New Roman" w:hAnsi="Calibri" w:cs="Calibri"/>
                <w:sz w:val="20"/>
                <w:szCs w:val="20"/>
              </w:rPr>
            </w:pPr>
            <w:r w:rsidRPr="00F11CDC">
              <w:rPr>
                <w:rFonts w:ascii="Calibri" w:hAnsi="Calibri" w:cs="Calibri"/>
                <w:sz w:val="20"/>
                <w:szCs w:val="20"/>
              </w:rPr>
              <w:t>85.40</w:t>
            </w:r>
          </w:p>
        </w:tc>
        <w:tc>
          <w:tcPr>
            <w:tcW w:w="1390" w:type="dxa"/>
            <w:vAlign w:val="bottom"/>
          </w:tcPr>
          <w:p w14:paraId="762BF85C" w14:textId="77777777" w:rsidR="00825666" w:rsidRPr="00F11CDC" w:rsidRDefault="00825666" w:rsidP="00F60E7C">
            <w:pPr>
              <w:contextualSpacing/>
              <w:jc w:val="center"/>
              <w:rPr>
                <w:rFonts w:ascii="Calibri" w:eastAsia="Times New Roman" w:hAnsi="Calibri" w:cs="Calibri"/>
                <w:sz w:val="20"/>
                <w:szCs w:val="20"/>
              </w:rPr>
            </w:pPr>
            <w:r w:rsidRPr="00F11CDC">
              <w:rPr>
                <w:rFonts w:ascii="Calibri" w:eastAsia="Times New Roman" w:hAnsi="Calibri" w:cs="Calibri"/>
                <w:sz w:val="20"/>
                <w:szCs w:val="20"/>
              </w:rPr>
              <w:t>70.00</w:t>
            </w:r>
          </w:p>
        </w:tc>
        <w:tc>
          <w:tcPr>
            <w:tcW w:w="1390" w:type="dxa"/>
            <w:vAlign w:val="bottom"/>
          </w:tcPr>
          <w:p w14:paraId="0FE3D9AF" w14:textId="77777777" w:rsidR="00825666" w:rsidRPr="00F11CDC" w:rsidRDefault="00825666" w:rsidP="00F60E7C">
            <w:pPr>
              <w:contextualSpacing/>
              <w:jc w:val="center"/>
              <w:rPr>
                <w:rFonts w:ascii="Calibri" w:eastAsia="Times New Roman" w:hAnsi="Calibri" w:cs="Calibri"/>
                <w:sz w:val="20"/>
                <w:szCs w:val="20"/>
              </w:rPr>
            </w:pPr>
            <w:r w:rsidRPr="00F11CDC">
              <w:rPr>
                <w:rFonts w:ascii="Calibri" w:eastAsia="Times New Roman" w:hAnsi="Calibri" w:cs="Calibri"/>
                <w:sz w:val="20"/>
                <w:szCs w:val="20"/>
              </w:rPr>
              <w:t>100.00</w:t>
            </w:r>
          </w:p>
        </w:tc>
      </w:tr>
      <w:tr w:rsidR="00825666" w:rsidRPr="00F11CDC" w14:paraId="37F33067" w14:textId="77777777" w:rsidTr="00033521">
        <w:tc>
          <w:tcPr>
            <w:tcW w:w="2628" w:type="dxa"/>
            <w:vAlign w:val="bottom"/>
          </w:tcPr>
          <w:p w14:paraId="5A8EDAF5" w14:textId="77777777" w:rsidR="00825666" w:rsidRPr="00F11CDC" w:rsidRDefault="00825666" w:rsidP="00F60E7C">
            <w:pPr>
              <w:contextualSpacing/>
              <w:jc w:val="center"/>
              <w:rPr>
                <w:rFonts w:ascii="Calibri" w:eastAsia="Times New Roman" w:hAnsi="Calibri" w:cs="Calibri"/>
                <w:color w:val="000000"/>
                <w:sz w:val="20"/>
                <w:szCs w:val="20"/>
              </w:rPr>
            </w:pPr>
            <w:r w:rsidRPr="00F11CDC">
              <w:rPr>
                <w:rFonts w:ascii="Calibri" w:eastAsia="Times New Roman" w:hAnsi="Calibri" w:cs="Calibri"/>
                <w:color w:val="000000"/>
                <w:sz w:val="20"/>
                <w:szCs w:val="20"/>
              </w:rPr>
              <w:t>RP-2014</w:t>
            </w:r>
          </w:p>
        </w:tc>
        <w:tc>
          <w:tcPr>
            <w:tcW w:w="1389" w:type="dxa"/>
            <w:vAlign w:val="bottom"/>
          </w:tcPr>
          <w:p w14:paraId="3572D820" w14:textId="77777777" w:rsidR="00825666" w:rsidRPr="00F11CDC" w:rsidRDefault="00825666" w:rsidP="00F60E7C">
            <w:pPr>
              <w:contextualSpacing/>
              <w:jc w:val="center"/>
              <w:rPr>
                <w:rFonts w:ascii="Calibri" w:eastAsia="Times New Roman" w:hAnsi="Calibri" w:cs="Calibri"/>
                <w:color w:val="000000"/>
                <w:sz w:val="20"/>
                <w:szCs w:val="20"/>
              </w:rPr>
            </w:pPr>
            <w:r w:rsidRPr="00F11CDC">
              <w:rPr>
                <w:rFonts w:ascii="Calibri" w:eastAsia="Times New Roman" w:hAnsi="Calibri" w:cs="Calibri"/>
                <w:color w:val="000000"/>
                <w:sz w:val="20"/>
                <w:szCs w:val="20"/>
              </w:rPr>
              <w:t>80.62</w:t>
            </w:r>
          </w:p>
        </w:tc>
        <w:tc>
          <w:tcPr>
            <w:tcW w:w="1390" w:type="dxa"/>
            <w:vAlign w:val="bottom"/>
          </w:tcPr>
          <w:p w14:paraId="11DA056A" w14:textId="77777777" w:rsidR="00825666" w:rsidRPr="00F11CDC" w:rsidRDefault="00825666" w:rsidP="00F60E7C">
            <w:pPr>
              <w:contextualSpacing/>
              <w:jc w:val="center"/>
              <w:rPr>
                <w:rFonts w:ascii="Calibri" w:eastAsia="Times New Roman" w:hAnsi="Calibri" w:cs="Calibri"/>
                <w:sz w:val="20"/>
                <w:szCs w:val="20"/>
              </w:rPr>
            </w:pPr>
            <w:r w:rsidRPr="00F11CDC">
              <w:rPr>
                <w:rFonts w:ascii="Calibri" w:hAnsi="Calibri" w:cs="Calibri"/>
                <w:sz w:val="20"/>
                <w:szCs w:val="20"/>
              </w:rPr>
              <w:t>80.26</w:t>
            </w:r>
          </w:p>
        </w:tc>
        <w:tc>
          <w:tcPr>
            <w:tcW w:w="1389" w:type="dxa"/>
            <w:vAlign w:val="bottom"/>
          </w:tcPr>
          <w:p w14:paraId="740E796A" w14:textId="77777777" w:rsidR="00825666" w:rsidRPr="00F11CDC" w:rsidRDefault="00825666" w:rsidP="00F60E7C">
            <w:pPr>
              <w:contextualSpacing/>
              <w:jc w:val="center"/>
              <w:rPr>
                <w:rFonts w:ascii="Calibri" w:eastAsia="Times New Roman" w:hAnsi="Calibri" w:cs="Calibri"/>
                <w:sz w:val="20"/>
                <w:szCs w:val="20"/>
              </w:rPr>
            </w:pPr>
            <w:r w:rsidRPr="00F11CDC">
              <w:rPr>
                <w:rFonts w:ascii="Calibri" w:hAnsi="Calibri" w:cs="Calibri"/>
                <w:sz w:val="20"/>
                <w:szCs w:val="20"/>
              </w:rPr>
              <w:t>80.84</w:t>
            </w:r>
          </w:p>
        </w:tc>
        <w:tc>
          <w:tcPr>
            <w:tcW w:w="1390" w:type="dxa"/>
            <w:vAlign w:val="bottom"/>
          </w:tcPr>
          <w:p w14:paraId="6A54C367" w14:textId="77777777" w:rsidR="00825666" w:rsidRPr="00F11CDC" w:rsidRDefault="00825666" w:rsidP="00F60E7C">
            <w:pPr>
              <w:contextualSpacing/>
              <w:jc w:val="center"/>
              <w:rPr>
                <w:rFonts w:ascii="Calibri" w:eastAsia="Times New Roman" w:hAnsi="Calibri" w:cs="Calibri"/>
                <w:sz w:val="20"/>
                <w:szCs w:val="20"/>
              </w:rPr>
            </w:pPr>
            <w:r w:rsidRPr="00F11CDC">
              <w:rPr>
                <w:rFonts w:ascii="Calibri" w:eastAsia="Times New Roman" w:hAnsi="Calibri" w:cs="Calibri"/>
                <w:sz w:val="20"/>
                <w:szCs w:val="20"/>
              </w:rPr>
              <w:t>66.08</w:t>
            </w:r>
          </w:p>
        </w:tc>
        <w:tc>
          <w:tcPr>
            <w:tcW w:w="1390" w:type="dxa"/>
            <w:vAlign w:val="bottom"/>
          </w:tcPr>
          <w:p w14:paraId="50D935D6" w14:textId="77777777" w:rsidR="00825666" w:rsidRPr="00F11CDC" w:rsidRDefault="00825666" w:rsidP="00F60E7C">
            <w:pPr>
              <w:contextualSpacing/>
              <w:jc w:val="center"/>
              <w:rPr>
                <w:rFonts w:ascii="Calibri" w:eastAsia="Times New Roman" w:hAnsi="Calibri" w:cs="Calibri"/>
                <w:sz w:val="20"/>
                <w:szCs w:val="20"/>
              </w:rPr>
            </w:pPr>
            <w:r w:rsidRPr="00F11CDC">
              <w:rPr>
                <w:rFonts w:ascii="Calibri" w:eastAsia="Times New Roman" w:hAnsi="Calibri" w:cs="Calibri"/>
                <w:sz w:val="20"/>
                <w:szCs w:val="20"/>
              </w:rPr>
              <w:t>94.41</w:t>
            </w:r>
          </w:p>
        </w:tc>
      </w:tr>
    </w:tbl>
    <w:p w14:paraId="6FDEA749" w14:textId="7D17D442" w:rsidR="00825666" w:rsidRDefault="00825666" w:rsidP="00F60E7C">
      <w:pPr>
        <w:spacing w:line="240" w:lineRule="auto"/>
        <w:contextualSpacing/>
        <w:rPr>
          <w:sz w:val="20"/>
        </w:rPr>
      </w:pPr>
      <w:r>
        <w:rPr>
          <w:sz w:val="20"/>
        </w:rPr>
        <w:t>Note: Shaded cells all represent the uniform plan at median conditions</w:t>
      </w:r>
      <w:r w:rsidR="00AF599B">
        <w:rPr>
          <w:sz w:val="20"/>
        </w:rPr>
        <w:t xml:space="preserve"> (near median for salary growth rate)</w:t>
      </w:r>
      <w:r>
        <w:rPr>
          <w:sz w:val="20"/>
        </w:rPr>
        <w:t xml:space="preserve">. All values are funding ratios (percent of liabilities that are covered by asset holdings). </w:t>
      </w:r>
      <w:r>
        <w:rPr>
          <w:sz w:val="20"/>
        </w:rPr>
        <w:br w:type="page"/>
      </w:r>
    </w:p>
    <w:p w14:paraId="4BC47CDA" w14:textId="3F72D12D" w:rsidR="00825666" w:rsidRPr="00F60E7C" w:rsidRDefault="00825666" w:rsidP="00F60E7C">
      <w:pPr>
        <w:spacing w:line="240" w:lineRule="auto"/>
        <w:contextualSpacing/>
        <w:jc w:val="center"/>
        <w:rPr>
          <w:rFonts w:ascii="Times New Roman" w:hAnsi="Times New Roman" w:cs="Times New Roman"/>
          <w:szCs w:val="24"/>
        </w:rPr>
      </w:pPr>
      <w:r w:rsidRPr="00F60E7C">
        <w:rPr>
          <w:rFonts w:ascii="Times New Roman" w:hAnsi="Times New Roman" w:cs="Times New Roman"/>
          <w:szCs w:val="24"/>
        </w:rPr>
        <w:lastRenderedPageBreak/>
        <w:t xml:space="preserve">Table 5: Effect of </w:t>
      </w:r>
      <w:r w:rsidR="00F60E7C" w:rsidRPr="00F60E7C">
        <w:rPr>
          <w:rFonts w:ascii="Times New Roman" w:hAnsi="Times New Roman" w:cs="Times New Roman"/>
          <w:szCs w:val="24"/>
        </w:rPr>
        <w:t>actuarial input changes on the</w:t>
      </w:r>
      <w:r w:rsidRPr="00F60E7C">
        <w:rPr>
          <w:rFonts w:ascii="Times New Roman" w:hAnsi="Times New Roman" w:cs="Times New Roman"/>
          <w:szCs w:val="24"/>
        </w:rPr>
        <w:t xml:space="preserve"> ARC/Payroll</w:t>
      </w:r>
    </w:p>
    <w:p w14:paraId="4BF68F3C" w14:textId="77777777" w:rsidR="00825666" w:rsidRDefault="00825666" w:rsidP="00F60E7C">
      <w:pPr>
        <w:spacing w:line="240" w:lineRule="auto"/>
        <w:contextualSpacing/>
        <w:jc w:val="center"/>
      </w:pPr>
    </w:p>
    <w:tbl>
      <w:tblPr>
        <w:tblStyle w:val="TableGrid"/>
        <w:tblW w:w="0" w:type="auto"/>
        <w:tblLook w:val="04A0" w:firstRow="1" w:lastRow="0" w:firstColumn="1" w:lastColumn="0" w:noHBand="0" w:noVBand="1"/>
      </w:tblPr>
      <w:tblGrid>
        <w:gridCol w:w="2628"/>
        <w:gridCol w:w="1389"/>
        <w:gridCol w:w="1390"/>
        <w:gridCol w:w="1389"/>
        <w:gridCol w:w="1390"/>
        <w:gridCol w:w="1390"/>
      </w:tblGrid>
      <w:tr w:rsidR="00825666" w:rsidRPr="00371B12" w14:paraId="6FF7FA61" w14:textId="77777777" w:rsidTr="00033521">
        <w:tc>
          <w:tcPr>
            <w:tcW w:w="2628" w:type="dxa"/>
            <w:vMerge w:val="restart"/>
            <w:vAlign w:val="center"/>
          </w:tcPr>
          <w:p w14:paraId="4CE1DB0B" w14:textId="77777777" w:rsidR="00825666" w:rsidRPr="00371B12" w:rsidRDefault="00825666" w:rsidP="00F60E7C">
            <w:pPr>
              <w:contextualSpacing/>
              <w:jc w:val="center"/>
              <w:rPr>
                <w:b/>
                <w:sz w:val="20"/>
                <w:szCs w:val="20"/>
              </w:rPr>
            </w:pPr>
            <w:r w:rsidRPr="00371B12">
              <w:rPr>
                <w:b/>
                <w:sz w:val="20"/>
                <w:szCs w:val="20"/>
              </w:rPr>
              <w:t>Actuarial Input</w:t>
            </w:r>
          </w:p>
        </w:tc>
        <w:tc>
          <w:tcPr>
            <w:tcW w:w="4168" w:type="dxa"/>
            <w:gridSpan w:val="3"/>
            <w:vAlign w:val="center"/>
          </w:tcPr>
          <w:p w14:paraId="0F9D2491" w14:textId="77777777" w:rsidR="00825666" w:rsidRDefault="00825666" w:rsidP="00F60E7C">
            <w:pPr>
              <w:contextualSpacing/>
              <w:jc w:val="center"/>
              <w:rPr>
                <w:b/>
                <w:sz w:val="20"/>
                <w:szCs w:val="20"/>
              </w:rPr>
            </w:pPr>
            <w:r>
              <w:rPr>
                <w:b/>
                <w:sz w:val="20"/>
                <w:szCs w:val="20"/>
              </w:rPr>
              <w:t xml:space="preserve">Assets in median condition are set to </w:t>
            </w:r>
          </w:p>
          <w:p w14:paraId="1A9093EA" w14:textId="77777777" w:rsidR="00825666" w:rsidRPr="00371B12" w:rsidRDefault="00825666" w:rsidP="00F60E7C">
            <w:pPr>
              <w:contextualSpacing/>
              <w:jc w:val="center"/>
              <w:rPr>
                <w:b/>
                <w:sz w:val="20"/>
                <w:szCs w:val="20"/>
              </w:rPr>
            </w:pPr>
            <w:r>
              <w:rPr>
                <w:b/>
                <w:sz w:val="20"/>
                <w:szCs w:val="20"/>
              </w:rPr>
              <w:t>an 85.4% funding ratio</w:t>
            </w:r>
          </w:p>
        </w:tc>
        <w:tc>
          <w:tcPr>
            <w:tcW w:w="1390" w:type="dxa"/>
            <w:vMerge w:val="restart"/>
            <w:vAlign w:val="center"/>
          </w:tcPr>
          <w:p w14:paraId="37872531" w14:textId="6F96A284" w:rsidR="00825666" w:rsidRPr="00371B12" w:rsidRDefault="00825666" w:rsidP="00F60E7C">
            <w:pPr>
              <w:contextualSpacing/>
              <w:jc w:val="center"/>
              <w:rPr>
                <w:b/>
                <w:sz w:val="20"/>
                <w:szCs w:val="20"/>
              </w:rPr>
            </w:pPr>
            <w:r>
              <w:rPr>
                <w:b/>
                <w:sz w:val="20"/>
                <w:szCs w:val="20"/>
              </w:rPr>
              <w:t xml:space="preserve">Assets in median condition set to a </w:t>
            </w:r>
            <w:r w:rsidRPr="00371B12">
              <w:rPr>
                <w:b/>
                <w:sz w:val="20"/>
                <w:szCs w:val="20"/>
              </w:rPr>
              <w:t>70</w:t>
            </w:r>
            <w:r w:rsidR="0084413D">
              <w:rPr>
                <w:b/>
                <w:sz w:val="20"/>
                <w:szCs w:val="20"/>
              </w:rPr>
              <w:t>%</w:t>
            </w:r>
            <w:r w:rsidRPr="00371B12">
              <w:rPr>
                <w:b/>
                <w:sz w:val="20"/>
                <w:szCs w:val="20"/>
              </w:rPr>
              <w:t xml:space="preserve"> </w:t>
            </w:r>
          </w:p>
          <w:p w14:paraId="56AA9095" w14:textId="77777777" w:rsidR="00825666" w:rsidRPr="00371B12" w:rsidRDefault="00825666" w:rsidP="00F60E7C">
            <w:pPr>
              <w:contextualSpacing/>
              <w:jc w:val="center"/>
              <w:rPr>
                <w:b/>
                <w:sz w:val="20"/>
                <w:szCs w:val="20"/>
              </w:rPr>
            </w:pPr>
            <w:r w:rsidRPr="00371B12">
              <w:rPr>
                <w:b/>
                <w:sz w:val="20"/>
                <w:szCs w:val="20"/>
              </w:rPr>
              <w:t xml:space="preserve">funding ratio </w:t>
            </w:r>
          </w:p>
          <w:p w14:paraId="68797E6A" w14:textId="77777777" w:rsidR="00825666" w:rsidRPr="00371B12" w:rsidRDefault="00825666" w:rsidP="00F60E7C">
            <w:pPr>
              <w:contextualSpacing/>
              <w:jc w:val="center"/>
              <w:rPr>
                <w:b/>
                <w:sz w:val="20"/>
                <w:szCs w:val="20"/>
              </w:rPr>
            </w:pPr>
            <w:r w:rsidRPr="00371B12">
              <w:rPr>
                <w:b/>
                <w:sz w:val="20"/>
                <w:szCs w:val="20"/>
              </w:rPr>
              <w:t>(4)</w:t>
            </w:r>
          </w:p>
        </w:tc>
        <w:tc>
          <w:tcPr>
            <w:tcW w:w="1390" w:type="dxa"/>
            <w:vMerge w:val="restart"/>
            <w:vAlign w:val="center"/>
          </w:tcPr>
          <w:p w14:paraId="17F3A3FE" w14:textId="00E58E4E" w:rsidR="00825666" w:rsidRPr="00371B12" w:rsidRDefault="00825666" w:rsidP="00F60E7C">
            <w:pPr>
              <w:contextualSpacing/>
              <w:jc w:val="center"/>
              <w:rPr>
                <w:b/>
                <w:sz w:val="20"/>
                <w:szCs w:val="20"/>
              </w:rPr>
            </w:pPr>
            <w:r>
              <w:rPr>
                <w:b/>
                <w:sz w:val="20"/>
                <w:szCs w:val="20"/>
              </w:rPr>
              <w:t xml:space="preserve">Assets in median condition set to a </w:t>
            </w:r>
            <w:r w:rsidRPr="00371B12">
              <w:rPr>
                <w:b/>
                <w:sz w:val="20"/>
                <w:szCs w:val="20"/>
              </w:rPr>
              <w:t>100</w:t>
            </w:r>
            <w:r w:rsidR="0084413D">
              <w:rPr>
                <w:b/>
                <w:sz w:val="20"/>
                <w:szCs w:val="20"/>
              </w:rPr>
              <w:t>%</w:t>
            </w:r>
          </w:p>
          <w:p w14:paraId="78E707EF" w14:textId="77777777" w:rsidR="00825666" w:rsidRPr="00371B12" w:rsidRDefault="00825666" w:rsidP="00F60E7C">
            <w:pPr>
              <w:contextualSpacing/>
              <w:jc w:val="center"/>
              <w:rPr>
                <w:b/>
                <w:sz w:val="20"/>
                <w:szCs w:val="20"/>
              </w:rPr>
            </w:pPr>
            <w:r w:rsidRPr="00371B12">
              <w:rPr>
                <w:b/>
                <w:sz w:val="20"/>
                <w:szCs w:val="20"/>
              </w:rPr>
              <w:t>funding ratio</w:t>
            </w:r>
          </w:p>
          <w:p w14:paraId="522852A9" w14:textId="77777777" w:rsidR="00825666" w:rsidRPr="00371B12" w:rsidRDefault="00825666" w:rsidP="00F60E7C">
            <w:pPr>
              <w:contextualSpacing/>
              <w:jc w:val="center"/>
              <w:rPr>
                <w:b/>
                <w:sz w:val="20"/>
                <w:szCs w:val="20"/>
              </w:rPr>
            </w:pPr>
            <w:r w:rsidRPr="00371B12">
              <w:rPr>
                <w:b/>
                <w:sz w:val="20"/>
                <w:szCs w:val="20"/>
              </w:rPr>
              <w:t>(5)</w:t>
            </w:r>
          </w:p>
        </w:tc>
      </w:tr>
      <w:tr w:rsidR="00825666" w:rsidRPr="00371B12" w14:paraId="22491A5A" w14:textId="77777777" w:rsidTr="00033521">
        <w:tc>
          <w:tcPr>
            <w:tcW w:w="2628" w:type="dxa"/>
            <w:vMerge/>
            <w:vAlign w:val="center"/>
          </w:tcPr>
          <w:p w14:paraId="174D450A" w14:textId="77777777" w:rsidR="00825666" w:rsidRPr="00371B12" w:rsidRDefault="00825666" w:rsidP="00F60E7C">
            <w:pPr>
              <w:contextualSpacing/>
              <w:jc w:val="center"/>
              <w:rPr>
                <w:b/>
                <w:sz w:val="20"/>
                <w:szCs w:val="20"/>
              </w:rPr>
            </w:pPr>
          </w:p>
        </w:tc>
        <w:tc>
          <w:tcPr>
            <w:tcW w:w="1389" w:type="dxa"/>
            <w:vAlign w:val="center"/>
          </w:tcPr>
          <w:p w14:paraId="0A5E5665" w14:textId="77777777" w:rsidR="00825666" w:rsidRDefault="00825666" w:rsidP="00F60E7C">
            <w:pPr>
              <w:contextualSpacing/>
              <w:jc w:val="center"/>
              <w:rPr>
                <w:b/>
                <w:sz w:val="20"/>
                <w:szCs w:val="20"/>
              </w:rPr>
            </w:pPr>
            <w:r>
              <w:rPr>
                <w:b/>
                <w:sz w:val="20"/>
                <w:szCs w:val="20"/>
              </w:rPr>
              <w:t>Active participant ages are uniformly distributed</w:t>
            </w:r>
          </w:p>
          <w:p w14:paraId="60251849" w14:textId="77777777" w:rsidR="00825666" w:rsidRPr="00371B12" w:rsidRDefault="00825666" w:rsidP="00F60E7C">
            <w:pPr>
              <w:contextualSpacing/>
              <w:jc w:val="center"/>
              <w:rPr>
                <w:b/>
                <w:sz w:val="20"/>
                <w:szCs w:val="20"/>
              </w:rPr>
            </w:pPr>
            <w:r w:rsidRPr="00371B12">
              <w:rPr>
                <w:b/>
                <w:sz w:val="20"/>
                <w:szCs w:val="20"/>
              </w:rPr>
              <w:t>(1)</w:t>
            </w:r>
          </w:p>
        </w:tc>
        <w:tc>
          <w:tcPr>
            <w:tcW w:w="1390" w:type="dxa"/>
            <w:vAlign w:val="center"/>
          </w:tcPr>
          <w:p w14:paraId="0A21A02F" w14:textId="77777777" w:rsidR="00825666" w:rsidRPr="00371B12" w:rsidRDefault="00825666" w:rsidP="00F60E7C">
            <w:pPr>
              <w:contextualSpacing/>
              <w:jc w:val="center"/>
              <w:rPr>
                <w:b/>
                <w:sz w:val="20"/>
                <w:szCs w:val="20"/>
              </w:rPr>
            </w:pPr>
            <w:r>
              <w:rPr>
                <w:b/>
                <w:sz w:val="20"/>
                <w:szCs w:val="20"/>
              </w:rPr>
              <w:t>Active p</w:t>
            </w:r>
            <w:r w:rsidRPr="00371B12">
              <w:rPr>
                <w:b/>
                <w:sz w:val="20"/>
                <w:szCs w:val="20"/>
              </w:rPr>
              <w:t>articipant</w:t>
            </w:r>
            <w:r>
              <w:rPr>
                <w:b/>
                <w:sz w:val="20"/>
                <w:szCs w:val="20"/>
              </w:rPr>
              <w:t xml:space="preserve"> ages are skewed younger</w:t>
            </w:r>
          </w:p>
          <w:p w14:paraId="470AE19F" w14:textId="77777777" w:rsidR="00825666" w:rsidRPr="00371B12" w:rsidRDefault="00825666" w:rsidP="00F60E7C">
            <w:pPr>
              <w:contextualSpacing/>
              <w:jc w:val="center"/>
              <w:rPr>
                <w:b/>
                <w:sz w:val="20"/>
                <w:szCs w:val="20"/>
              </w:rPr>
            </w:pPr>
            <w:r w:rsidRPr="00371B12">
              <w:rPr>
                <w:b/>
                <w:sz w:val="20"/>
                <w:szCs w:val="20"/>
              </w:rPr>
              <w:t>(2)</w:t>
            </w:r>
          </w:p>
        </w:tc>
        <w:tc>
          <w:tcPr>
            <w:tcW w:w="1389" w:type="dxa"/>
            <w:vAlign w:val="center"/>
          </w:tcPr>
          <w:p w14:paraId="077E7399" w14:textId="77777777" w:rsidR="00825666" w:rsidRDefault="00825666" w:rsidP="00F60E7C">
            <w:pPr>
              <w:contextualSpacing/>
              <w:jc w:val="center"/>
              <w:rPr>
                <w:b/>
                <w:sz w:val="20"/>
                <w:szCs w:val="20"/>
              </w:rPr>
            </w:pPr>
          </w:p>
          <w:p w14:paraId="1925581A" w14:textId="77777777" w:rsidR="00825666" w:rsidRDefault="00825666" w:rsidP="00F60E7C">
            <w:pPr>
              <w:contextualSpacing/>
              <w:jc w:val="center"/>
              <w:rPr>
                <w:b/>
                <w:sz w:val="20"/>
                <w:szCs w:val="20"/>
              </w:rPr>
            </w:pPr>
            <w:r>
              <w:rPr>
                <w:b/>
                <w:sz w:val="20"/>
                <w:szCs w:val="20"/>
              </w:rPr>
              <w:t>Active participant ages are skewed older</w:t>
            </w:r>
          </w:p>
          <w:p w14:paraId="48B194AB" w14:textId="77777777" w:rsidR="00825666" w:rsidRPr="00371B12" w:rsidRDefault="00825666" w:rsidP="00F60E7C">
            <w:pPr>
              <w:contextualSpacing/>
              <w:jc w:val="center"/>
              <w:rPr>
                <w:b/>
                <w:sz w:val="20"/>
                <w:szCs w:val="20"/>
              </w:rPr>
            </w:pPr>
            <w:r w:rsidRPr="00371B12">
              <w:rPr>
                <w:b/>
                <w:sz w:val="20"/>
                <w:szCs w:val="20"/>
              </w:rPr>
              <w:t>(3)</w:t>
            </w:r>
          </w:p>
        </w:tc>
        <w:tc>
          <w:tcPr>
            <w:tcW w:w="1390" w:type="dxa"/>
            <w:vMerge/>
            <w:vAlign w:val="center"/>
          </w:tcPr>
          <w:p w14:paraId="5FA138F0" w14:textId="77777777" w:rsidR="00825666" w:rsidRPr="00371B12" w:rsidRDefault="00825666" w:rsidP="00F60E7C">
            <w:pPr>
              <w:contextualSpacing/>
              <w:jc w:val="center"/>
              <w:rPr>
                <w:b/>
                <w:sz w:val="20"/>
                <w:szCs w:val="20"/>
              </w:rPr>
            </w:pPr>
          </w:p>
        </w:tc>
        <w:tc>
          <w:tcPr>
            <w:tcW w:w="1390" w:type="dxa"/>
            <w:vMerge/>
            <w:vAlign w:val="center"/>
          </w:tcPr>
          <w:p w14:paraId="471240B4" w14:textId="77777777" w:rsidR="00825666" w:rsidRPr="00371B12" w:rsidRDefault="00825666" w:rsidP="00F60E7C">
            <w:pPr>
              <w:contextualSpacing/>
              <w:jc w:val="center"/>
              <w:rPr>
                <w:b/>
                <w:sz w:val="20"/>
                <w:szCs w:val="20"/>
              </w:rPr>
            </w:pPr>
          </w:p>
        </w:tc>
      </w:tr>
      <w:tr w:rsidR="00825666" w:rsidRPr="00F11CDC" w14:paraId="6F937703" w14:textId="77777777" w:rsidTr="00033521">
        <w:tc>
          <w:tcPr>
            <w:tcW w:w="9576" w:type="dxa"/>
            <w:gridSpan w:val="6"/>
          </w:tcPr>
          <w:p w14:paraId="6984A3D1" w14:textId="77777777" w:rsidR="00825666" w:rsidRPr="00F11CDC" w:rsidRDefault="00825666" w:rsidP="00F60E7C">
            <w:pPr>
              <w:contextualSpacing/>
              <w:rPr>
                <w:b/>
                <w:sz w:val="20"/>
                <w:szCs w:val="20"/>
              </w:rPr>
            </w:pPr>
          </w:p>
          <w:p w14:paraId="208D80D0" w14:textId="77777777" w:rsidR="00825666" w:rsidRPr="00F11CDC" w:rsidRDefault="00825666" w:rsidP="00F60E7C">
            <w:pPr>
              <w:contextualSpacing/>
              <w:rPr>
                <w:b/>
                <w:sz w:val="20"/>
                <w:szCs w:val="20"/>
              </w:rPr>
            </w:pPr>
            <w:r w:rsidRPr="00F11CDC">
              <w:rPr>
                <w:b/>
                <w:sz w:val="20"/>
                <w:szCs w:val="20"/>
              </w:rPr>
              <w:t>Panel A: Discount Rates (median observed value is 8</w:t>
            </w:r>
            <w:r>
              <w:rPr>
                <w:b/>
                <w:sz w:val="20"/>
                <w:szCs w:val="20"/>
              </w:rPr>
              <w:t>%</w:t>
            </w:r>
            <w:r w:rsidRPr="00F11CDC">
              <w:rPr>
                <w:b/>
                <w:sz w:val="20"/>
                <w:szCs w:val="20"/>
              </w:rPr>
              <w:t>)</w:t>
            </w:r>
          </w:p>
        </w:tc>
      </w:tr>
      <w:tr w:rsidR="00825666" w:rsidRPr="00F11CDC" w14:paraId="6DF3369E" w14:textId="77777777" w:rsidTr="00033521">
        <w:tc>
          <w:tcPr>
            <w:tcW w:w="2628" w:type="dxa"/>
            <w:vAlign w:val="bottom"/>
          </w:tcPr>
          <w:p w14:paraId="0749AAED" w14:textId="77777777" w:rsidR="00825666" w:rsidRPr="00F11CDC" w:rsidRDefault="00825666" w:rsidP="00F60E7C">
            <w:pPr>
              <w:contextualSpacing/>
              <w:jc w:val="center"/>
              <w:rPr>
                <w:rFonts w:ascii="Calibri" w:eastAsia="Times New Roman" w:hAnsi="Calibri" w:cs="Calibri"/>
                <w:color w:val="000000"/>
                <w:sz w:val="20"/>
                <w:szCs w:val="20"/>
              </w:rPr>
            </w:pPr>
            <w:r w:rsidRPr="00F11CDC">
              <w:rPr>
                <w:rFonts w:ascii="Calibri" w:eastAsia="Times New Roman" w:hAnsi="Calibri" w:cs="Calibri"/>
                <w:color w:val="000000"/>
                <w:sz w:val="20"/>
                <w:szCs w:val="20"/>
              </w:rPr>
              <w:t>8.75</w:t>
            </w:r>
          </w:p>
        </w:tc>
        <w:tc>
          <w:tcPr>
            <w:tcW w:w="1389" w:type="dxa"/>
            <w:vAlign w:val="bottom"/>
          </w:tcPr>
          <w:p w14:paraId="302EEABD" w14:textId="77777777" w:rsidR="00825666" w:rsidRPr="00683492" w:rsidRDefault="00825666" w:rsidP="00F60E7C">
            <w:pPr>
              <w:contextualSpacing/>
              <w:jc w:val="center"/>
              <w:rPr>
                <w:rFonts w:ascii="Calibri" w:eastAsia="Times New Roman" w:hAnsi="Calibri" w:cs="Calibri"/>
                <w:sz w:val="20"/>
                <w:szCs w:val="20"/>
              </w:rPr>
            </w:pPr>
            <w:r w:rsidRPr="00683492">
              <w:rPr>
                <w:rFonts w:ascii="Calibri" w:eastAsia="Times New Roman" w:hAnsi="Calibri" w:cs="Calibri"/>
                <w:sz w:val="20"/>
                <w:szCs w:val="20"/>
              </w:rPr>
              <w:t>12.50</w:t>
            </w:r>
          </w:p>
        </w:tc>
        <w:tc>
          <w:tcPr>
            <w:tcW w:w="1390" w:type="dxa"/>
            <w:vAlign w:val="bottom"/>
          </w:tcPr>
          <w:p w14:paraId="12F027AF" w14:textId="77777777" w:rsidR="00825666" w:rsidRPr="00683492" w:rsidRDefault="00825666" w:rsidP="00F60E7C">
            <w:pPr>
              <w:contextualSpacing/>
              <w:jc w:val="center"/>
              <w:rPr>
                <w:rFonts w:ascii="Calibri" w:eastAsia="Times New Roman" w:hAnsi="Calibri" w:cs="Calibri"/>
                <w:sz w:val="20"/>
                <w:szCs w:val="20"/>
              </w:rPr>
            </w:pPr>
            <w:r w:rsidRPr="00683492">
              <w:rPr>
                <w:rFonts w:ascii="Calibri" w:hAnsi="Calibri" w:cs="Calibri"/>
                <w:sz w:val="20"/>
                <w:szCs w:val="20"/>
              </w:rPr>
              <w:t>12.30</w:t>
            </w:r>
          </w:p>
        </w:tc>
        <w:tc>
          <w:tcPr>
            <w:tcW w:w="1389" w:type="dxa"/>
            <w:vAlign w:val="bottom"/>
          </w:tcPr>
          <w:p w14:paraId="222F21F1" w14:textId="77777777" w:rsidR="00825666" w:rsidRPr="00683492" w:rsidRDefault="00825666" w:rsidP="00F60E7C">
            <w:pPr>
              <w:contextualSpacing/>
              <w:jc w:val="center"/>
              <w:rPr>
                <w:rFonts w:ascii="Calibri" w:eastAsia="Times New Roman" w:hAnsi="Calibri" w:cs="Calibri"/>
                <w:sz w:val="20"/>
                <w:szCs w:val="20"/>
              </w:rPr>
            </w:pPr>
            <w:r w:rsidRPr="00683492">
              <w:rPr>
                <w:rFonts w:ascii="Calibri" w:hAnsi="Calibri" w:cs="Calibri"/>
                <w:sz w:val="20"/>
                <w:szCs w:val="20"/>
              </w:rPr>
              <w:t>12.61</w:t>
            </w:r>
          </w:p>
        </w:tc>
        <w:tc>
          <w:tcPr>
            <w:tcW w:w="1390" w:type="dxa"/>
            <w:vAlign w:val="bottom"/>
          </w:tcPr>
          <w:p w14:paraId="0535EB54" w14:textId="77777777" w:rsidR="00825666" w:rsidRPr="00683492" w:rsidRDefault="00825666" w:rsidP="00F60E7C">
            <w:pPr>
              <w:contextualSpacing/>
              <w:jc w:val="center"/>
              <w:rPr>
                <w:rFonts w:ascii="Calibri" w:eastAsia="Times New Roman" w:hAnsi="Calibri" w:cs="Calibri"/>
                <w:sz w:val="20"/>
                <w:szCs w:val="20"/>
              </w:rPr>
            </w:pPr>
            <w:r w:rsidRPr="00683492">
              <w:rPr>
                <w:rFonts w:ascii="Calibri" w:eastAsia="Times New Roman" w:hAnsi="Calibri" w:cs="Calibri"/>
                <w:sz w:val="20"/>
                <w:szCs w:val="20"/>
              </w:rPr>
              <w:t>21.91</w:t>
            </w:r>
          </w:p>
        </w:tc>
        <w:tc>
          <w:tcPr>
            <w:tcW w:w="1390" w:type="dxa"/>
            <w:vAlign w:val="bottom"/>
          </w:tcPr>
          <w:p w14:paraId="0091A1A7" w14:textId="77777777" w:rsidR="00825666" w:rsidRPr="00683492" w:rsidRDefault="00825666" w:rsidP="00F60E7C">
            <w:pPr>
              <w:contextualSpacing/>
              <w:jc w:val="center"/>
              <w:rPr>
                <w:rFonts w:ascii="Calibri" w:eastAsia="Times New Roman" w:hAnsi="Calibri" w:cs="Calibri"/>
                <w:sz w:val="20"/>
                <w:szCs w:val="20"/>
              </w:rPr>
            </w:pPr>
            <w:r w:rsidRPr="00683492">
              <w:rPr>
                <w:rFonts w:ascii="Calibri" w:eastAsia="Times New Roman" w:hAnsi="Calibri" w:cs="Calibri"/>
                <w:sz w:val="20"/>
                <w:szCs w:val="20"/>
              </w:rPr>
              <w:t>3.57</w:t>
            </w:r>
          </w:p>
        </w:tc>
      </w:tr>
      <w:tr w:rsidR="00825666" w:rsidRPr="00F11CDC" w14:paraId="241860AB" w14:textId="77777777" w:rsidTr="00033521">
        <w:tc>
          <w:tcPr>
            <w:tcW w:w="2628" w:type="dxa"/>
            <w:vAlign w:val="bottom"/>
          </w:tcPr>
          <w:p w14:paraId="26833906" w14:textId="77777777" w:rsidR="00825666" w:rsidRPr="00F11CDC" w:rsidRDefault="00825666" w:rsidP="00F60E7C">
            <w:pPr>
              <w:contextualSpacing/>
              <w:jc w:val="center"/>
              <w:rPr>
                <w:rFonts w:ascii="Calibri" w:eastAsia="Times New Roman" w:hAnsi="Calibri" w:cs="Calibri"/>
                <w:color w:val="000000"/>
                <w:sz w:val="20"/>
                <w:szCs w:val="20"/>
              </w:rPr>
            </w:pPr>
            <w:r w:rsidRPr="00F11CDC">
              <w:rPr>
                <w:rFonts w:ascii="Calibri" w:eastAsia="Times New Roman" w:hAnsi="Calibri" w:cs="Calibri"/>
                <w:color w:val="000000"/>
                <w:sz w:val="20"/>
                <w:szCs w:val="20"/>
              </w:rPr>
              <w:t>8.50</w:t>
            </w:r>
          </w:p>
        </w:tc>
        <w:tc>
          <w:tcPr>
            <w:tcW w:w="1389" w:type="dxa"/>
            <w:vAlign w:val="bottom"/>
          </w:tcPr>
          <w:p w14:paraId="132F5028" w14:textId="77777777" w:rsidR="00825666" w:rsidRPr="00683492" w:rsidRDefault="00825666" w:rsidP="00F60E7C">
            <w:pPr>
              <w:contextualSpacing/>
              <w:jc w:val="center"/>
              <w:rPr>
                <w:rFonts w:ascii="Calibri" w:eastAsia="Times New Roman" w:hAnsi="Calibri" w:cs="Calibri"/>
                <w:sz w:val="20"/>
                <w:szCs w:val="20"/>
              </w:rPr>
            </w:pPr>
            <w:r w:rsidRPr="00683492">
              <w:rPr>
                <w:rFonts w:ascii="Calibri" w:eastAsia="Times New Roman" w:hAnsi="Calibri" w:cs="Calibri"/>
                <w:sz w:val="20"/>
                <w:szCs w:val="20"/>
              </w:rPr>
              <w:t>14.49</w:t>
            </w:r>
          </w:p>
        </w:tc>
        <w:tc>
          <w:tcPr>
            <w:tcW w:w="1390" w:type="dxa"/>
            <w:vAlign w:val="bottom"/>
          </w:tcPr>
          <w:p w14:paraId="1922D21F" w14:textId="77777777" w:rsidR="00825666" w:rsidRPr="00683492" w:rsidRDefault="00825666" w:rsidP="00F60E7C">
            <w:pPr>
              <w:contextualSpacing/>
              <w:jc w:val="center"/>
              <w:rPr>
                <w:rFonts w:ascii="Calibri" w:eastAsia="Times New Roman" w:hAnsi="Calibri" w:cs="Calibri"/>
                <w:sz w:val="20"/>
                <w:szCs w:val="20"/>
              </w:rPr>
            </w:pPr>
            <w:r w:rsidRPr="00683492">
              <w:rPr>
                <w:rFonts w:ascii="Calibri" w:hAnsi="Calibri" w:cs="Calibri"/>
                <w:sz w:val="20"/>
                <w:szCs w:val="20"/>
              </w:rPr>
              <w:t>14.43</w:t>
            </w:r>
          </w:p>
        </w:tc>
        <w:tc>
          <w:tcPr>
            <w:tcW w:w="1389" w:type="dxa"/>
            <w:vAlign w:val="bottom"/>
          </w:tcPr>
          <w:p w14:paraId="67E39C97" w14:textId="77777777" w:rsidR="00825666" w:rsidRPr="00683492" w:rsidRDefault="00825666" w:rsidP="00F60E7C">
            <w:pPr>
              <w:contextualSpacing/>
              <w:jc w:val="center"/>
              <w:rPr>
                <w:rFonts w:ascii="Calibri" w:eastAsia="Times New Roman" w:hAnsi="Calibri" w:cs="Calibri"/>
                <w:sz w:val="20"/>
                <w:szCs w:val="20"/>
              </w:rPr>
            </w:pPr>
            <w:r w:rsidRPr="00683492">
              <w:rPr>
                <w:rFonts w:ascii="Calibri" w:hAnsi="Calibri" w:cs="Calibri"/>
                <w:sz w:val="20"/>
                <w:szCs w:val="20"/>
              </w:rPr>
              <w:t>14.53</w:t>
            </w:r>
          </w:p>
        </w:tc>
        <w:tc>
          <w:tcPr>
            <w:tcW w:w="1390" w:type="dxa"/>
            <w:vAlign w:val="bottom"/>
          </w:tcPr>
          <w:p w14:paraId="21FB48F0" w14:textId="77777777" w:rsidR="00825666" w:rsidRPr="00683492" w:rsidRDefault="00825666" w:rsidP="00F60E7C">
            <w:pPr>
              <w:contextualSpacing/>
              <w:jc w:val="center"/>
              <w:rPr>
                <w:rFonts w:ascii="Calibri" w:eastAsia="Times New Roman" w:hAnsi="Calibri" w:cs="Calibri"/>
                <w:sz w:val="20"/>
                <w:szCs w:val="20"/>
              </w:rPr>
            </w:pPr>
            <w:r w:rsidRPr="00683492">
              <w:rPr>
                <w:rFonts w:ascii="Calibri" w:eastAsia="Times New Roman" w:hAnsi="Calibri" w:cs="Calibri"/>
                <w:sz w:val="20"/>
                <w:szCs w:val="20"/>
              </w:rPr>
              <w:t>23.70</w:t>
            </w:r>
          </w:p>
        </w:tc>
        <w:tc>
          <w:tcPr>
            <w:tcW w:w="1390" w:type="dxa"/>
            <w:vAlign w:val="bottom"/>
          </w:tcPr>
          <w:p w14:paraId="4029F13C" w14:textId="77777777" w:rsidR="00825666" w:rsidRPr="00683492" w:rsidRDefault="00825666" w:rsidP="00F60E7C">
            <w:pPr>
              <w:contextualSpacing/>
              <w:jc w:val="center"/>
              <w:rPr>
                <w:rFonts w:ascii="Calibri" w:eastAsia="Times New Roman" w:hAnsi="Calibri" w:cs="Calibri"/>
                <w:sz w:val="20"/>
                <w:szCs w:val="20"/>
              </w:rPr>
            </w:pPr>
            <w:r w:rsidRPr="00683492">
              <w:rPr>
                <w:rFonts w:ascii="Calibri" w:eastAsia="Times New Roman" w:hAnsi="Calibri" w:cs="Calibri"/>
                <w:sz w:val="20"/>
                <w:szCs w:val="20"/>
              </w:rPr>
              <w:t>5.76</w:t>
            </w:r>
          </w:p>
        </w:tc>
      </w:tr>
      <w:tr w:rsidR="00825666" w:rsidRPr="00F11CDC" w14:paraId="3AF7BB24" w14:textId="77777777" w:rsidTr="00033521">
        <w:tc>
          <w:tcPr>
            <w:tcW w:w="2628" w:type="dxa"/>
            <w:vAlign w:val="bottom"/>
          </w:tcPr>
          <w:p w14:paraId="564139BD" w14:textId="77777777" w:rsidR="00825666" w:rsidRPr="00F11CDC" w:rsidRDefault="00825666" w:rsidP="00F60E7C">
            <w:pPr>
              <w:contextualSpacing/>
              <w:jc w:val="center"/>
              <w:rPr>
                <w:rFonts w:ascii="Calibri" w:eastAsia="Times New Roman" w:hAnsi="Calibri" w:cs="Calibri"/>
                <w:color w:val="000000"/>
                <w:sz w:val="20"/>
                <w:szCs w:val="20"/>
              </w:rPr>
            </w:pPr>
            <w:r w:rsidRPr="00F11CDC">
              <w:rPr>
                <w:rFonts w:ascii="Calibri" w:eastAsia="Times New Roman" w:hAnsi="Calibri" w:cs="Calibri"/>
                <w:color w:val="000000"/>
                <w:sz w:val="20"/>
                <w:szCs w:val="20"/>
              </w:rPr>
              <w:t>8.25</w:t>
            </w:r>
          </w:p>
        </w:tc>
        <w:tc>
          <w:tcPr>
            <w:tcW w:w="1389" w:type="dxa"/>
            <w:tcBorders>
              <w:bottom w:val="single" w:sz="4" w:space="0" w:color="auto"/>
            </w:tcBorders>
            <w:vAlign w:val="bottom"/>
          </w:tcPr>
          <w:p w14:paraId="1F50FBA7" w14:textId="77777777" w:rsidR="00825666" w:rsidRPr="00683492" w:rsidRDefault="00825666" w:rsidP="00F60E7C">
            <w:pPr>
              <w:contextualSpacing/>
              <w:jc w:val="center"/>
              <w:rPr>
                <w:rFonts w:ascii="Calibri" w:eastAsia="Times New Roman" w:hAnsi="Calibri" w:cs="Calibri"/>
                <w:sz w:val="20"/>
                <w:szCs w:val="20"/>
              </w:rPr>
            </w:pPr>
            <w:r w:rsidRPr="00683492">
              <w:rPr>
                <w:rFonts w:ascii="Calibri" w:eastAsia="Times New Roman" w:hAnsi="Calibri" w:cs="Calibri"/>
                <w:sz w:val="20"/>
                <w:szCs w:val="20"/>
              </w:rPr>
              <w:t>16.51</w:t>
            </w:r>
          </w:p>
        </w:tc>
        <w:tc>
          <w:tcPr>
            <w:tcW w:w="1390" w:type="dxa"/>
            <w:vAlign w:val="bottom"/>
          </w:tcPr>
          <w:p w14:paraId="00D2F00B" w14:textId="77777777" w:rsidR="00825666" w:rsidRPr="00683492" w:rsidRDefault="00825666" w:rsidP="00F60E7C">
            <w:pPr>
              <w:contextualSpacing/>
              <w:jc w:val="center"/>
              <w:rPr>
                <w:rFonts w:ascii="Calibri" w:eastAsia="Times New Roman" w:hAnsi="Calibri" w:cs="Calibri"/>
                <w:sz w:val="20"/>
                <w:szCs w:val="20"/>
              </w:rPr>
            </w:pPr>
            <w:r w:rsidRPr="00683492">
              <w:rPr>
                <w:rFonts w:ascii="Calibri" w:hAnsi="Calibri" w:cs="Calibri"/>
                <w:sz w:val="20"/>
                <w:szCs w:val="20"/>
              </w:rPr>
              <w:t>16.58</w:t>
            </w:r>
          </w:p>
        </w:tc>
        <w:tc>
          <w:tcPr>
            <w:tcW w:w="1389" w:type="dxa"/>
            <w:vAlign w:val="bottom"/>
          </w:tcPr>
          <w:p w14:paraId="374F7637" w14:textId="77777777" w:rsidR="00825666" w:rsidRPr="00683492" w:rsidRDefault="00825666" w:rsidP="00F60E7C">
            <w:pPr>
              <w:contextualSpacing/>
              <w:jc w:val="center"/>
              <w:rPr>
                <w:rFonts w:ascii="Calibri" w:eastAsia="Times New Roman" w:hAnsi="Calibri" w:cs="Calibri"/>
                <w:sz w:val="20"/>
                <w:szCs w:val="20"/>
              </w:rPr>
            </w:pPr>
            <w:r w:rsidRPr="00683492">
              <w:rPr>
                <w:rFonts w:ascii="Calibri" w:hAnsi="Calibri" w:cs="Calibri"/>
                <w:sz w:val="20"/>
                <w:szCs w:val="20"/>
              </w:rPr>
              <w:t>16.47</w:t>
            </w:r>
          </w:p>
        </w:tc>
        <w:tc>
          <w:tcPr>
            <w:tcW w:w="1390" w:type="dxa"/>
            <w:vAlign w:val="bottom"/>
          </w:tcPr>
          <w:p w14:paraId="7E76F9DD" w14:textId="77777777" w:rsidR="00825666" w:rsidRPr="00683492" w:rsidRDefault="00825666" w:rsidP="00F60E7C">
            <w:pPr>
              <w:contextualSpacing/>
              <w:jc w:val="center"/>
              <w:rPr>
                <w:rFonts w:ascii="Calibri" w:eastAsia="Times New Roman" w:hAnsi="Calibri" w:cs="Calibri"/>
                <w:sz w:val="20"/>
                <w:szCs w:val="20"/>
              </w:rPr>
            </w:pPr>
            <w:r w:rsidRPr="00683492">
              <w:rPr>
                <w:rFonts w:ascii="Calibri" w:eastAsia="Times New Roman" w:hAnsi="Calibri" w:cs="Calibri"/>
                <w:sz w:val="20"/>
                <w:szCs w:val="20"/>
              </w:rPr>
              <w:t>25.51</w:t>
            </w:r>
          </w:p>
        </w:tc>
        <w:tc>
          <w:tcPr>
            <w:tcW w:w="1390" w:type="dxa"/>
            <w:vAlign w:val="bottom"/>
          </w:tcPr>
          <w:p w14:paraId="355C8F71" w14:textId="77777777" w:rsidR="00825666" w:rsidRPr="00683492" w:rsidRDefault="00825666" w:rsidP="00F60E7C">
            <w:pPr>
              <w:contextualSpacing/>
              <w:jc w:val="center"/>
              <w:rPr>
                <w:rFonts w:ascii="Calibri" w:eastAsia="Times New Roman" w:hAnsi="Calibri" w:cs="Calibri"/>
                <w:sz w:val="20"/>
                <w:szCs w:val="20"/>
              </w:rPr>
            </w:pPr>
            <w:r w:rsidRPr="00683492">
              <w:rPr>
                <w:rFonts w:ascii="Calibri" w:eastAsia="Times New Roman" w:hAnsi="Calibri" w:cs="Calibri"/>
                <w:sz w:val="20"/>
                <w:szCs w:val="20"/>
              </w:rPr>
              <w:t>7.98</w:t>
            </w:r>
          </w:p>
        </w:tc>
      </w:tr>
      <w:tr w:rsidR="00825666" w:rsidRPr="00F11CDC" w14:paraId="18EA7BA4" w14:textId="77777777" w:rsidTr="00033521">
        <w:tc>
          <w:tcPr>
            <w:tcW w:w="2628" w:type="dxa"/>
            <w:vAlign w:val="bottom"/>
          </w:tcPr>
          <w:p w14:paraId="4CD32CCB" w14:textId="77777777" w:rsidR="00825666" w:rsidRPr="00F11CDC" w:rsidRDefault="00825666" w:rsidP="00F60E7C">
            <w:pPr>
              <w:contextualSpacing/>
              <w:jc w:val="center"/>
              <w:rPr>
                <w:rFonts w:ascii="Calibri" w:eastAsia="Times New Roman" w:hAnsi="Calibri" w:cs="Calibri"/>
                <w:color w:val="000000"/>
                <w:sz w:val="20"/>
                <w:szCs w:val="20"/>
              </w:rPr>
            </w:pPr>
            <w:r w:rsidRPr="00F11CDC">
              <w:rPr>
                <w:rFonts w:ascii="Calibri" w:eastAsia="Times New Roman" w:hAnsi="Calibri" w:cs="Calibri"/>
                <w:color w:val="000000"/>
                <w:sz w:val="20"/>
                <w:szCs w:val="20"/>
              </w:rPr>
              <w:t>8.00</w:t>
            </w:r>
          </w:p>
        </w:tc>
        <w:tc>
          <w:tcPr>
            <w:tcW w:w="1389" w:type="dxa"/>
            <w:shd w:val="pct15" w:color="auto" w:fill="auto"/>
            <w:vAlign w:val="bottom"/>
          </w:tcPr>
          <w:p w14:paraId="5C6A43FB" w14:textId="77777777" w:rsidR="00825666" w:rsidRPr="00671132" w:rsidRDefault="00825666" w:rsidP="00F60E7C">
            <w:pPr>
              <w:contextualSpacing/>
              <w:jc w:val="center"/>
              <w:rPr>
                <w:rFonts w:ascii="Calibri" w:eastAsia="Times New Roman" w:hAnsi="Calibri" w:cs="Calibri"/>
                <w:sz w:val="20"/>
                <w:szCs w:val="20"/>
              </w:rPr>
            </w:pPr>
            <w:r w:rsidRPr="00671132">
              <w:rPr>
                <w:rFonts w:ascii="Calibri" w:eastAsia="Times New Roman" w:hAnsi="Calibri" w:cs="Calibri"/>
                <w:sz w:val="20"/>
                <w:szCs w:val="20"/>
              </w:rPr>
              <w:t>18.55</w:t>
            </w:r>
          </w:p>
        </w:tc>
        <w:tc>
          <w:tcPr>
            <w:tcW w:w="1390" w:type="dxa"/>
            <w:vAlign w:val="bottom"/>
          </w:tcPr>
          <w:p w14:paraId="73BEE506" w14:textId="77777777" w:rsidR="00825666" w:rsidRPr="00671132" w:rsidRDefault="00825666" w:rsidP="00F60E7C">
            <w:pPr>
              <w:contextualSpacing/>
              <w:jc w:val="center"/>
              <w:rPr>
                <w:rFonts w:ascii="Calibri" w:eastAsia="Times New Roman" w:hAnsi="Calibri" w:cs="Calibri"/>
                <w:sz w:val="20"/>
                <w:szCs w:val="20"/>
              </w:rPr>
            </w:pPr>
            <w:r w:rsidRPr="00671132">
              <w:rPr>
                <w:rFonts w:ascii="Calibri" w:hAnsi="Calibri" w:cs="Calibri"/>
                <w:sz w:val="20"/>
                <w:szCs w:val="20"/>
              </w:rPr>
              <w:t>18.77</w:t>
            </w:r>
          </w:p>
        </w:tc>
        <w:tc>
          <w:tcPr>
            <w:tcW w:w="1389" w:type="dxa"/>
            <w:vAlign w:val="bottom"/>
          </w:tcPr>
          <w:p w14:paraId="7D650625" w14:textId="77777777" w:rsidR="00825666" w:rsidRPr="00671132" w:rsidRDefault="00825666" w:rsidP="00F60E7C">
            <w:pPr>
              <w:contextualSpacing/>
              <w:jc w:val="center"/>
              <w:rPr>
                <w:rFonts w:ascii="Calibri" w:eastAsia="Times New Roman" w:hAnsi="Calibri" w:cs="Calibri"/>
                <w:sz w:val="20"/>
                <w:szCs w:val="20"/>
              </w:rPr>
            </w:pPr>
            <w:r w:rsidRPr="00671132">
              <w:rPr>
                <w:rFonts w:ascii="Calibri" w:hAnsi="Calibri" w:cs="Calibri"/>
                <w:sz w:val="20"/>
                <w:szCs w:val="20"/>
              </w:rPr>
              <w:t>18.43</w:t>
            </w:r>
          </w:p>
        </w:tc>
        <w:tc>
          <w:tcPr>
            <w:tcW w:w="1390" w:type="dxa"/>
            <w:vAlign w:val="bottom"/>
          </w:tcPr>
          <w:p w14:paraId="27A9BA18" w14:textId="77777777" w:rsidR="00825666" w:rsidRPr="00671132" w:rsidRDefault="00825666" w:rsidP="00F60E7C">
            <w:pPr>
              <w:contextualSpacing/>
              <w:jc w:val="center"/>
              <w:rPr>
                <w:rFonts w:ascii="Calibri" w:eastAsia="Times New Roman" w:hAnsi="Calibri" w:cs="Calibri"/>
                <w:sz w:val="20"/>
                <w:szCs w:val="20"/>
              </w:rPr>
            </w:pPr>
            <w:r w:rsidRPr="00671132">
              <w:rPr>
                <w:rFonts w:ascii="Calibri" w:eastAsia="Times New Roman" w:hAnsi="Calibri" w:cs="Calibri"/>
                <w:sz w:val="20"/>
                <w:szCs w:val="20"/>
              </w:rPr>
              <w:t>27.35</w:t>
            </w:r>
          </w:p>
        </w:tc>
        <w:tc>
          <w:tcPr>
            <w:tcW w:w="1390" w:type="dxa"/>
            <w:vAlign w:val="bottom"/>
          </w:tcPr>
          <w:p w14:paraId="3554FFEA" w14:textId="77777777" w:rsidR="00825666" w:rsidRPr="00671132" w:rsidRDefault="00825666" w:rsidP="00F60E7C">
            <w:pPr>
              <w:contextualSpacing/>
              <w:jc w:val="center"/>
              <w:rPr>
                <w:rFonts w:ascii="Calibri" w:eastAsia="Times New Roman" w:hAnsi="Calibri" w:cs="Calibri"/>
                <w:sz w:val="20"/>
                <w:szCs w:val="20"/>
              </w:rPr>
            </w:pPr>
            <w:r w:rsidRPr="00671132">
              <w:rPr>
                <w:rFonts w:ascii="Calibri" w:eastAsia="Times New Roman" w:hAnsi="Calibri" w:cs="Calibri"/>
                <w:sz w:val="20"/>
                <w:szCs w:val="20"/>
              </w:rPr>
              <w:t>10.21</w:t>
            </w:r>
          </w:p>
        </w:tc>
      </w:tr>
      <w:tr w:rsidR="00825666" w:rsidRPr="00F11CDC" w14:paraId="37DEF32C" w14:textId="77777777" w:rsidTr="00033521">
        <w:tc>
          <w:tcPr>
            <w:tcW w:w="2628" w:type="dxa"/>
            <w:vAlign w:val="bottom"/>
          </w:tcPr>
          <w:p w14:paraId="76960EED" w14:textId="77777777" w:rsidR="00825666" w:rsidRPr="00F11CDC" w:rsidRDefault="00825666" w:rsidP="00F60E7C">
            <w:pPr>
              <w:contextualSpacing/>
              <w:jc w:val="center"/>
              <w:rPr>
                <w:rFonts w:ascii="Calibri" w:eastAsia="Times New Roman" w:hAnsi="Calibri" w:cs="Calibri"/>
                <w:color w:val="000000"/>
                <w:sz w:val="20"/>
                <w:szCs w:val="20"/>
              </w:rPr>
            </w:pPr>
            <w:r w:rsidRPr="00F11CDC">
              <w:rPr>
                <w:rFonts w:ascii="Calibri" w:eastAsia="Times New Roman" w:hAnsi="Calibri" w:cs="Calibri"/>
                <w:color w:val="000000"/>
                <w:sz w:val="20"/>
                <w:szCs w:val="20"/>
              </w:rPr>
              <w:t>7.75</w:t>
            </w:r>
          </w:p>
        </w:tc>
        <w:tc>
          <w:tcPr>
            <w:tcW w:w="1389" w:type="dxa"/>
            <w:vAlign w:val="bottom"/>
          </w:tcPr>
          <w:p w14:paraId="75C79DD2" w14:textId="77777777" w:rsidR="00825666" w:rsidRPr="00683492" w:rsidRDefault="00825666" w:rsidP="00F60E7C">
            <w:pPr>
              <w:contextualSpacing/>
              <w:jc w:val="center"/>
              <w:rPr>
                <w:rFonts w:ascii="Calibri" w:eastAsia="Times New Roman" w:hAnsi="Calibri" w:cs="Calibri"/>
                <w:sz w:val="20"/>
                <w:szCs w:val="20"/>
              </w:rPr>
            </w:pPr>
            <w:r w:rsidRPr="00683492">
              <w:rPr>
                <w:rFonts w:ascii="Calibri" w:eastAsia="Times New Roman" w:hAnsi="Calibri" w:cs="Calibri"/>
                <w:sz w:val="20"/>
                <w:szCs w:val="20"/>
              </w:rPr>
              <w:t>20.62</w:t>
            </w:r>
          </w:p>
        </w:tc>
        <w:tc>
          <w:tcPr>
            <w:tcW w:w="1390" w:type="dxa"/>
            <w:vAlign w:val="bottom"/>
          </w:tcPr>
          <w:p w14:paraId="05FE6792" w14:textId="77777777" w:rsidR="00825666" w:rsidRPr="00683492" w:rsidRDefault="00825666" w:rsidP="00F60E7C">
            <w:pPr>
              <w:contextualSpacing/>
              <w:jc w:val="center"/>
              <w:rPr>
                <w:rFonts w:ascii="Calibri" w:eastAsia="Times New Roman" w:hAnsi="Calibri" w:cs="Calibri"/>
                <w:sz w:val="20"/>
                <w:szCs w:val="20"/>
              </w:rPr>
            </w:pPr>
            <w:r w:rsidRPr="00683492">
              <w:rPr>
                <w:rFonts w:ascii="Calibri" w:hAnsi="Calibri" w:cs="Calibri"/>
                <w:sz w:val="20"/>
                <w:szCs w:val="20"/>
              </w:rPr>
              <w:t>20.98</w:t>
            </w:r>
          </w:p>
        </w:tc>
        <w:tc>
          <w:tcPr>
            <w:tcW w:w="1389" w:type="dxa"/>
            <w:vAlign w:val="bottom"/>
          </w:tcPr>
          <w:p w14:paraId="0BD7FD45" w14:textId="77777777" w:rsidR="00825666" w:rsidRPr="00683492" w:rsidRDefault="00825666" w:rsidP="00F60E7C">
            <w:pPr>
              <w:contextualSpacing/>
              <w:jc w:val="center"/>
              <w:rPr>
                <w:rFonts w:ascii="Calibri" w:eastAsia="Times New Roman" w:hAnsi="Calibri" w:cs="Calibri"/>
                <w:sz w:val="20"/>
                <w:szCs w:val="20"/>
              </w:rPr>
            </w:pPr>
            <w:r w:rsidRPr="00683492">
              <w:rPr>
                <w:rFonts w:ascii="Calibri" w:hAnsi="Calibri" w:cs="Calibri"/>
                <w:sz w:val="20"/>
                <w:szCs w:val="20"/>
              </w:rPr>
              <w:t>20.41</w:t>
            </w:r>
          </w:p>
        </w:tc>
        <w:tc>
          <w:tcPr>
            <w:tcW w:w="1390" w:type="dxa"/>
            <w:vAlign w:val="bottom"/>
          </w:tcPr>
          <w:p w14:paraId="781C0080" w14:textId="77777777" w:rsidR="00825666" w:rsidRPr="00683492" w:rsidRDefault="00825666" w:rsidP="00F60E7C">
            <w:pPr>
              <w:contextualSpacing/>
              <w:jc w:val="center"/>
              <w:rPr>
                <w:rFonts w:ascii="Calibri" w:eastAsia="Times New Roman" w:hAnsi="Calibri" w:cs="Calibri"/>
                <w:sz w:val="20"/>
                <w:szCs w:val="20"/>
              </w:rPr>
            </w:pPr>
            <w:r w:rsidRPr="00683492">
              <w:rPr>
                <w:rFonts w:ascii="Calibri" w:eastAsia="Times New Roman" w:hAnsi="Calibri" w:cs="Calibri"/>
                <w:sz w:val="20"/>
                <w:szCs w:val="20"/>
              </w:rPr>
              <w:t>29.21</w:t>
            </w:r>
          </w:p>
        </w:tc>
        <w:tc>
          <w:tcPr>
            <w:tcW w:w="1390" w:type="dxa"/>
            <w:vAlign w:val="bottom"/>
          </w:tcPr>
          <w:p w14:paraId="654C36CB" w14:textId="77777777" w:rsidR="00825666" w:rsidRPr="00683492" w:rsidRDefault="00825666" w:rsidP="00F60E7C">
            <w:pPr>
              <w:contextualSpacing/>
              <w:jc w:val="center"/>
              <w:rPr>
                <w:rFonts w:ascii="Calibri" w:eastAsia="Times New Roman" w:hAnsi="Calibri" w:cs="Calibri"/>
                <w:sz w:val="20"/>
                <w:szCs w:val="20"/>
              </w:rPr>
            </w:pPr>
            <w:r w:rsidRPr="00683492">
              <w:rPr>
                <w:rFonts w:ascii="Calibri" w:eastAsia="Times New Roman" w:hAnsi="Calibri" w:cs="Calibri"/>
                <w:sz w:val="20"/>
                <w:szCs w:val="20"/>
              </w:rPr>
              <w:t>12.48</w:t>
            </w:r>
          </w:p>
        </w:tc>
      </w:tr>
      <w:tr w:rsidR="00825666" w:rsidRPr="00F11CDC" w14:paraId="0BD17A17" w14:textId="77777777" w:rsidTr="00033521">
        <w:tc>
          <w:tcPr>
            <w:tcW w:w="2628" w:type="dxa"/>
            <w:vAlign w:val="bottom"/>
          </w:tcPr>
          <w:p w14:paraId="7F23A843" w14:textId="77777777" w:rsidR="00825666" w:rsidRPr="00F11CDC" w:rsidRDefault="00825666" w:rsidP="00F60E7C">
            <w:pPr>
              <w:contextualSpacing/>
              <w:jc w:val="center"/>
              <w:rPr>
                <w:rFonts w:ascii="Calibri" w:eastAsia="Times New Roman" w:hAnsi="Calibri" w:cs="Calibri"/>
                <w:color w:val="000000"/>
                <w:sz w:val="20"/>
                <w:szCs w:val="20"/>
              </w:rPr>
            </w:pPr>
            <w:r w:rsidRPr="00F11CDC">
              <w:rPr>
                <w:rFonts w:ascii="Calibri" w:eastAsia="Times New Roman" w:hAnsi="Calibri" w:cs="Calibri"/>
                <w:color w:val="000000"/>
                <w:sz w:val="20"/>
                <w:szCs w:val="20"/>
              </w:rPr>
              <w:t>7.50</w:t>
            </w:r>
          </w:p>
        </w:tc>
        <w:tc>
          <w:tcPr>
            <w:tcW w:w="1389" w:type="dxa"/>
            <w:vAlign w:val="bottom"/>
          </w:tcPr>
          <w:p w14:paraId="15FB04E8" w14:textId="77777777" w:rsidR="00825666" w:rsidRPr="00683492" w:rsidRDefault="00825666" w:rsidP="00F60E7C">
            <w:pPr>
              <w:contextualSpacing/>
              <w:jc w:val="center"/>
              <w:rPr>
                <w:rFonts w:ascii="Calibri" w:eastAsia="Times New Roman" w:hAnsi="Calibri" w:cs="Calibri"/>
                <w:sz w:val="20"/>
                <w:szCs w:val="20"/>
              </w:rPr>
            </w:pPr>
            <w:r w:rsidRPr="00683492">
              <w:rPr>
                <w:rFonts w:ascii="Calibri" w:eastAsia="Times New Roman" w:hAnsi="Calibri" w:cs="Calibri"/>
                <w:sz w:val="20"/>
                <w:szCs w:val="20"/>
              </w:rPr>
              <w:t>22.72</w:t>
            </w:r>
          </w:p>
        </w:tc>
        <w:tc>
          <w:tcPr>
            <w:tcW w:w="1390" w:type="dxa"/>
            <w:vAlign w:val="bottom"/>
          </w:tcPr>
          <w:p w14:paraId="59F807C7" w14:textId="77777777" w:rsidR="00825666" w:rsidRPr="00683492" w:rsidRDefault="00825666" w:rsidP="00F60E7C">
            <w:pPr>
              <w:contextualSpacing/>
              <w:jc w:val="center"/>
              <w:rPr>
                <w:rFonts w:ascii="Calibri" w:eastAsia="Times New Roman" w:hAnsi="Calibri" w:cs="Calibri"/>
                <w:sz w:val="20"/>
                <w:szCs w:val="20"/>
              </w:rPr>
            </w:pPr>
            <w:r w:rsidRPr="00683492">
              <w:rPr>
                <w:rFonts w:ascii="Calibri" w:hAnsi="Calibri" w:cs="Calibri"/>
                <w:sz w:val="20"/>
                <w:szCs w:val="20"/>
              </w:rPr>
              <w:t>23.22</w:t>
            </w:r>
          </w:p>
        </w:tc>
        <w:tc>
          <w:tcPr>
            <w:tcW w:w="1389" w:type="dxa"/>
            <w:vAlign w:val="bottom"/>
          </w:tcPr>
          <w:p w14:paraId="1B4F52C8" w14:textId="77777777" w:rsidR="00825666" w:rsidRPr="00683492" w:rsidRDefault="00825666" w:rsidP="00F60E7C">
            <w:pPr>
              <w:contextualSpacing/>
              <w:jc w:val="center"/>
              <w:rPr>
                <w:rFonts w:ascii="Calibri" w:eastAsia="Times New Roman" w:hAnsi="Calibri" w:cs="Calibri"/>
                <w:sz w:val="20"/>
                <w:szCs w:val="20"/>
              </w:rPr>
            </w:pPr>
            <w:r w:rsidRPr="00683492">
              <w:rPr>
                <w:rFonts w:ascii="Calibri" w:hAnsi="Calibri" w:cs="Calibri"/>
                <w:sz w:val="20"/>
                <w:szCs w:val="20"/>
              </w:rPr>
              <w:t>22.42</w:t>
            </w:r>
          </w:p>
        </w:tc>
        <w:tc>
          <w:tcPr>
            <w:tcW w:w="1390" w:type="dxa"/>
            <w:vAlign w:val="bottom"/>
          </w:tcPr>
          <w:p w14:paraId="4D27954D" w14:textId="77777777" w:rsidR="00825666" w:rsidRPr="00683492" w:rsidRDefault="00825666" w:rsidP="00F60E7C">
            <w:pPr>
              <w:contextualSpacing/>
              <w:jc w:val="center"/>
              <w:rPr>
                <w:rFonts w:ascii="Calibri" w:eastAsia="Times New Roman" w:hAnsi="Calibri" w:cs="Calibri"/>
                <w:sz w:val="20"/>
                <w:szCs w:val="20"/>
              </w:rPr>
            </w:pPr>
            <w:r w:rsidRPr="00683492">
              <w:rPr>
                <w:rFonts w:ascii="Calibri" w:eastAsia="Times New Roman" w:hAnsi="Calibri" w:cs="Calibri"/>
                <w:sz w:val="20"/>
                <w:szCs w:val="20"/>
              </w:rPr>
              <w:t>31.11</w:t>
            </w:r>
          </w:p>
        </w:tc>
        <w:tc>
          <w:tcPr>
            <w:tcW w:w="1390" w:type="dxa"/>
            <w:vAlign w:val="bottom"/>
          </w:tcPr>
          <w:p w14:paraId="0297923A" w14:textId="77777777" w:rsidR="00825666" w:rsidRPr="00683492" w:rsidRDefault="00825666" w:rsidP="00F60E7C">
            <w:pPr>
              <w:contextualSpacing/>
              <w:jc w:val="center"/>
              <w:rPr>
                <w:rFonts w:ascii="Calibri" w:eastAsia="Times New Roman" w:hAnsi="Calibri" w:cs="Calibri"/>
                <w:sz w:val="20"/>
                <w:szCs w:val="20"/>
              </w:rPr>
            </w:pPr>
            <w:r w:rsidRPr="00683492">
              <w:rPr>
                <w:rFonts w:ascii="Calibri" w:eastAsia="Times New Roman" w:hAnsi="Calibri" w:cs="Calibri"/>
                <w:sz w:val="20"/>
                <w:szCs w:val="20"/>
              </w:rPr>
              <w:t>14.77</w:t>
            </w:r>
          </w:p>
        </w:tc>
      </w:tr>
      <w:tr w:rsidR="00825666" w:rsidRPr="00F11CDC" w14:paraId="53C57C12" w14:textId="77777777" w:rsidTr="00033521">
        <w:tc>
          <w:tcPr>
            <w:tcW w:w="2628" w:type="dxa"/>
            <w:vAlign w:val="bottom"/>
          </w:tcPr>
          <w:p w14:paraId="7E456E9D" w14:textId="77777777" w:rsidR="00825666" w:rsidRPr="00F11CDC" w:rsidRDefault="00825666" w:rsidP="00F60E7C">
            <w:pPr>
              <w:contextualSpacing/>
              <w:jc w:val="center"/>
              <w:rPr>
                <w:rFonts w:ascii="Calibri" w:eastAsia="Times New Roman" w:hAnsi="Calibri" w:cs="Calibri"/>
                <w:color w:val="000000"/>
                <w:sz w:val="20"/>
                <w:szCs w:val="20"/>
              </w:rPr>
            </w:pPr>
            <w:r w:rsidRPr="00F11CDC">
              <w:rPr>
                <w:rFonts w:ascii="Calibri" w:eastAsia="Times New Roman" w:hAnsi="Calibri" w:cs="Calibri"/>
                <w:color w:val="000000"/>
                <w:sz w:val="20"/>
                <w:szCs w:val="20"/>
              </w:rPr>
              <w:t>7.25</w:t>
            </w:r>
          </w:p>
        </w:tc>
        <w:tc>
          <w:tcPr>
            <w:tcW w:w="1389" w:type="dxa"/>
            <w:vAlign w:val="bottom"/>
          </w:tcPr>
          <w:p w14:paraId="48B17EF4" w14:textId="77777777" w:rsidR="00825666" w:rsidRPr="00683492" w:rsidRDefault="00825666" w:rsidP="00F60E7C">
            <w:pPr>
              <w:contextualSpacing/>
              <w:jc w:val="center"/>
              <w:rPr>
                <w:rFonts w:ascii="Calibri" w:eastAsia="Times New Roman" w:hAnsi="Calibri" w:cs="Calibri"/>
                <w:sz w:val="20"/>
                <w:szCs w:val="20"/>
              </w:rPr>
            </w:pPr>
            <w:r w:rsidRPr="00683492">
              <w:rPr>
                <w:rFonts w:ascii="Calibri" w:eastAsia="Times New Roman" w:hAnsi="Calibri" w:cs="Calibri"/>
                <w:sz w:val="20"/>
                <w:szCs w:val="20"/>
              </w:rPr>
              <w:t>24.85</w:t>
            </w:r>
          </w:p>
        </w:tc>
        <w:tc>
          <w:tcPr>
            <w:tcW w:w="1390" w:type="dxa"/>
            <w:vAlign w:val="bottom"/>
          </w:tcPr>
          <w:p w14:paraId="5C601FD8" w14:textId="77777777" w:rsidR="00825666" w:rsidRPr="00683492" w:rsidRDefault="00825666" w:rsidP="00F60E7C">
            <w:pPr>
              <w:contextualSpacing/>
              <w:jc w:val="center"/>
              <w:rPr>
                <w:rFonts w:ascii="Calibri" w:eastAsia="Times New Roman" w:hAnsi="Calibri" w:cs="Calibri"/>
                <w:sz w:val="20"/>
                <w:szCs w:val="20"/>
              </w:rPr>
            </w:pPr>
            <w:r w:rsidRPr="00683492">
              <w:rPr>
                <w:rFonts w:ascii="Calibri" w:hAnsi="Calibri" w:cs="Calibri"/>
                <w:sz w:val="20"/>
                <w:szCs w:val="20"/>
              </w:rPr>
              <w:t>25.49</w:t>
            </w:r>
          </w:p>
        </w:tc>
        <w:tc>
          <w:tcPr>
            <w:tcW w:w="1389" w:type="dxa"/>
            <w:vAlign w:val="bottom"/>
          </w:tcPr>
          <w:p w14:paraId="6EB28D10" w14:textId="77777777" w:rsidR="00825666" w:rsidRPr="00683492" w:rsidRDefault="00825666" w:rsidP="00F60E7C">
            <w:pPr>
              <w:contextualSpacing/>
              <w:jc w:val="center"/>
              <w:rPr>
                <w:rFonts w:ascii="Calibri" w:eastAsia="Times New Roman" w:hAnsi="Calibri" w:cs="Calibri"/>
                <w:sz w:val="20"/>
                <w:szCs w:val="20"/>
              </w:rPr>
            </w:pPr>
            <w:r w:rsidRPr="00683492">
              <w:rPr>
                <w:rFonts w:ascii="Calibri" w:hAnsi="Calibri" w:cs="Calibri"/>
                <w:sz w:val="20"/>
                <w:szCs w:val="20"/>
              </w:rPr>
              <w:t>24.46</w:t>
            </w:r>
          </w:p>
        </w:tc>
        <w:tc>
          <w:tcPr>
            <w:tcW w:w="1390" w:type="dxa"/>
            <w:vAlign w:val="bottom"/>
          </w:tcPr>
          <w:p w14:paraId="52DA98B8" w14:textId="77777777" w:rsidR="00825666" w:rsidRPr="00683492" w:rsidRDefault="00825666" w:rsidP="00F60E7C">
            <w:pPr>
              <w:contextualSpacing/>
              <w:jc w:val="center"/>
              <w:rPr>
                <w:rFonts w:ascii="Calibri" w:eastAsia="Times New Roman" w:hAnsi="Calibri" w:cs="Calibri"/>
                <w:sz w:val="20"/>
                <w:szCs w:val="20"/>
              </w:rPr>
            </w:pPr>
            <w:r w:rsidRPr="00683492">
              <w:rPr>
                <w:rFonts w:ascii="Calibri" w:eastAsia="Times New Roman" w:hAnsi="Calibri" w:cs="Calibri"/>
                <w:sz w:val="20"/>
                <w:szCs w:val="20"/>
              </w:rPr>
              <w:t>33.04</w:t>
            </w:r>
          </w:p>
        </w:tc>
        <w:tc>
          <w:tcPr>
            <w:tcW w:w="1390" w:type="dxa"/>
            <w:vAlign w:val="bottom"/>
          </w:tcPr>
          <w:p w14:paraId="2721B911" w14:textId="77777777" w:rsidR="00825666" w:rsidRPr="00683492" w:rsidRDefault="00825666" w:rsidP="00F60E7C">
            <w:pPr>
              <w:contextualSpacing/>
              <w:jc w:val="center"/>
              <w:rPr>
                <w:rFonts w:ascii="Calibri" w:eastAsia="Times New Roman" w:hAnsi="Calibri" w:cs="Calibri"/>
                <w:sz w:val="20"/>
                <w:szCs w:val="20"/>
              </w:rPr>
            </w:pPr>
            <w:r w:rsidRPr="00683492">
              <w:rPr>
                <w:rFonts w:ascii="Calibri" w:eastAsia="Times New Roman" w:hAnsi="Calibri" w:cs="Calibri"/>
                <w:sz w:val="20"/>
                <w:szCs w:val="20"/>
              </w:rPr>
              <w:t>17.08</w:t>
            </w:r>
          </w:p>
        </w:tc>
      </w:tr>
      <w:tr w:rsidR="00825666" w:rsidRPr="00F11CDC" w14:paraId="41B2277E" w14:textId="77777777" w:rsidTr="00033521">
        <w:tc>
          <w:tcPr>
            <w:tcW w:w="2628" w:type="dxa"/>
            <w:vAlign w:val="bottom"/>
          </w:tcPr>
          <w:p w14:paraId="5A358F89" w14:textId="77777777" w:rsidR="00825666" w:rsidRPr="00F11CDC" w:rsidRDefault="00825666" w:rsidP="00F60E7C">
            <w:pPr>
              <w:contextualSpacing/>
              <w:jc w:val="center"/>
              <w:rPr>
                <w:rFonts w:ascii="Calibri" w:eastAsia="Times New Roman" w:hAnsi="Calibri" w:cs="Calibri"/>
                <w:color w:val="000000"/>
                <w:sz w:val="20"/>
                <w:szCs w:val="20"/>
              </w:rPr>
            </w:pPr>
            <w:r w:rsidRPr="00F11CDC">
              <w:rPr>
                <w:rFonts w:ascii="Calibri" w:eastAsia="Times New Roman" w:hAnsi="Calibri" w:cs="Calibri"/>
                <w:color w:val="000000"/>
                <w:sz w:val="20"/>
                <w:szCs w:val="20"/>
              </w:rPr>
              <w:t>7.00</w:t>
            </w:r>
          </w:p>
        </w:tc>
        <w:tc>
          <w:tcPr>
            <w:tcW w:w="1389" w:type="dxa"/>
            <w:vAlign w:val="bottom"/>
          </w:tcPr>
          <w:p w14:paraId="53D0622B" w14:textId="77777777" w:rsidR="00825666" w:rsidRPr="00683492" w:rsidRDefault="00825666" w:rsidP="00F60E7C">
            <w:pPr>
              <w:contextualSpacing/>
              <w:jc w:val="center"/>
              <w:rPr>
                <w:rFonts w:ascii="Calibri" w:eastAsia="Times New Roman" w:hAnsi="Calibri" w:cs="Calibri"/>
                <w:sz w:val="20"/>
                <w:szCs w:val="20"/>
              </w:rPr>
            </w:pPr>
            <w:r w:rsidRPr="00683492">
              <w:rPr>
                <w:rFonts w:ascii="Calibri" w:eastAsia="Times New Roman" w:hAnsi="Calibri" w:cs="Calibri"/>
                <w:sz w:val="20"/>
                <w:szCs w:val="20"/>
              </w:rPr>
              <w:t>27.01</w:t>
            </w:r>
          </w:p>
        </w:tc>
        <w:tc>
          <w:tcPr>
            <w:tcW w:w="1390" w:type="dxa"/>
            <w:vAlign w:val="bottom"/>
          </w:tcPr>
          <w:p w14:paraId="7C52FEEF" w14:textId="77777777" w:rsidR="00825666" w:rsidRPr="00683492" w:rsidRDefault="00825666" w:rsidP="00F60E7C">
            <w:pPr>
              <w:contextualSpacing/>
              <w:jc w:val="center"/>
              <w:rPr>
                <w:rFonts w:ascii="Calibri" w:eastAsia="Times New Roman" w:hAnsi="Calibri" w:cs="Calibri"/>
                <w:sz w:val="20"/>
                <w:szCs w:val="20"/>
              </w:rPr>
            </w:pPr>
            <w:r w:rsidRPr="00683492">
              <w:rPr>
                <w:rFonts w:ascii="Calibri" w:hAnsi="Calibri" w:cs="Calibri"/>
                <w:sz w:val="20"/>
                <w:szCs w:val="20"/>
              </w:rPr>
              <w:t>27.80</w:t>
            </w:r>
          </w:p>
        </w:tc>
        <w:tc>
          <w:tcPr>
            <w:tcW w:w="1389" w:type="dxa"/>
            <w:vAlign w:val="bottom"/>
          </w:tcPr>
          <w:p w14:paraId="170B0592" w14:textId="77777777" w:rsidR="00825666" w:rsidRPr="00683492" w:rsidRDefault="00825666" w:rsidP="00F60E7C">
            <w:pPr>
              <w:contextualSpacing/>
              <w:jc w:val="center"/>
              <w:rPr>
                <w:rFonts w:ascii="Calibri" w:eastAsia="Times New Roman" w:hAnsi="Calibri" w:cs="Calibri"/>
                <w:sz w:val="20"/>
                <w:szCs w:val="20"/>
              </w:rPr>
            </w:pPr>
            <w:r w:rsidRPr="00683492">
              <w:rPr>
                <w:rFonts w:ascii="Calibri" w:hAnsi="Calibri" w:cs="Calibri"/>
                <w:sz w:val="20"/>
                <w:szCs w:val="20"/>
              </w:rPr>
              <w:t>26.54</w:t>
            </w:r>
          </w:p>
        </w:tc>
        <w:tc>
          <w:tcPr>
            <w:tcW w:w="1390" w:type="dxa"/>
            <w:vAlign w:val="bottom"/>
          </w:tcPr>
          <w:p w14:paraId="1CE1775A" w14:textId="77777777" w:rsidR="00825666" w:rsidRPr="00683492" w:rsidRDefault="00825666" w:rsidP="00F60E7C">
            <w:pPr>
              <w:contextualSpacing/>
              <w:jc w:val="center"/>
              <w:rPr>
                <w:rFonts w:ascii="Calibri" w:eastAsia="Times New Roman" w:hAnsi="Calibri" w:cs="Calibri"/>
                <w:sz w:val="20"/>
                <w:szCs w:val="20"/>
              </w:rPr>
            </w:pPr>
            <w:r w:rsidRPr="00683492">
              <w:rPr>
                <w:rFonts w:ascii="Calibri" w:eastAsia="Times New Roman" w:hAnsi="Calibri" w:cs="Calibri"/>
                <w:sz w:val="20"/>
                <w:szCs w:val="20"/>
              </w:rPr>
              <w:t>35.00</w:t>
            </w:r>
          </w:p>
        </w:tc>
        <w:tc>
          <w:tcPr>
            <w:tcW w:w="1390" w:type="dxa"/>
            <w:vAlign w:val="bottom"/>
          </w:tcPr>
          <w:p w14:paraId="10AC6BD9" w14:textId="77777777" w:rsidR="00825666" w:rsidRPr="00683492" w:rsidRDefault="00825666" w:rsidP="00F60E7C">
            <w:pPr>
              <w:contextualSpacing/>
              <w:jc w:val="center"/>
              <w:rPr>
                <w:rFonts w:ascii="Calibri" w:eastAsia="Times New Roman" w:hAnsi="Calibri" w:cs="Calibri"/>
                <w:sz w:val="20"/>
                <w:szCs w:val="20"/>
              </w:rPr>
            </w:pPr>
            <w:r w:rsidRPr="00683492">
              <w:rPr>
                <w:rFonts w:ascii="Calibri" w:eastAsia="Times New Roman" w:hAnsi="Calibri" w:cs="Calibri"/>
                <w:sz w:val="20"/>
                <w:szCs w:val="20"/>
              </w:rPr>
              <w:t>19.43</w:t>
            </w:r>
          </w:p>
        </w:tc>
      </w:tr>
      <w:tr w:rsidR="00825666" w:rsidRPr="00F11CDC" w14:paraId="44C0A91D" w14:textId="77777777" w:rsidTr="00033521">
        <w:tc>
          <w:tcPr>
            <w:tcW w:w="2628" w:type="dxa"/>
            <w:vAlign w:val="bottom"/>
          </w:tcPr>
          <w:p w14:paraId="6AA1E76F" w14:textId="77777777" w:rsidR="00825666" w:rsidRPr="00F11CDC" w:rsidRDefault="00825666" w:rsidP="00F60E7C">
            <w:pPr>
              <w:contextualSpacing/>
              <w:jc w:val="center"/>
              <w:rPr>
                <w:rFonts w:ascii="Calibri" w:eastAsia="Times New Roman" w:hAnsi="Calibri" w:cs="Calibri"/>
                <w:color w:val="000000"/>
                <w:sz w:val="20"/>
                <w:szCs w:val="20"/>
              </w:rPr>
            </w:pPr>
            <w:r w:rsidRPr="00F11CDC">
              <w:rPr>
                <w:rFonts w:ascii="Calibri" w:eastAsia="Times New Roman" w:hAnsi="Calibri" w:cs="Calibri"/>
                <w:color w:val="000000"/>
                <w:sz w:val="20"/>
                <w:szCs w:val="20"/>
              </w:rPr>
              <w:t>6.75</w:t>
            </w:r>
          </w:p>
        </w:tc>
        <w:tc>
          <w:tcPr>
            <w:tcW w:w="1389" w:type="dxa"/>
            <w:vAlign w:val="bottom"/>
          </w:tcPr>
          <w:p w14:paraId="60388548" w14:textId="77777777" w:rsidR="00825666" w:rsidRPr="00683492" w:rsidRDefault="00825666" w:rsidP="00F60E7C">
            <w:pPr>
              <w:contextualSpacing/>
              <w:jc w:val="center"/>
              <w:rPr>
                <w:rFonts w:ascii="Calibri" w:eastAsia="Times New Roman" w:hAnsi="Calibri" w:cs="Calibri"/>
                <w:sz w:val="20"/>
                <w:szCs w:val="20"/>
              </w:rPr>
            </w:pPr>
            <w:r w:rsidRPr="00683492">
              <w:rPr>
                <w:rFonts w:ascii="Calibri" w:eastAsia="Times New Roman" w:hAnsi="Calibri" w:cs="Calibri"/>
                <w:sz w:val="20"/>
                <w:szCs w:val="20"/>
              </w:rPr>
              <w:t>29.20</w:t>
            </w:r>
          </w:p>
        </w:tc>
        <w:tc>
          <w:tcPr>
            <w:tcW w:w="1390" w:type="dxa"/>
            <w:vAlign w:val="bottom"/>
          </w:tcPr>
          <w:p w14:paraId="735E13F0" w14:textId="77777777" w:rsidR="00825666" w:rsidRPr="00683492" w:rsidRDefault="00825666" w:rsidP="00F60E7C">
            <w:pPr>
              <w:contextualSpacing/>
              <w:jc w:val="center"/>
              <w:rPr>
                <w:rFonts w:ascii="Calibri" w:eastAsia="Times New Roman" w:hAnsi="Calibri" w:cs="Calibri"/>
                <w:sz w:val="20"/>
                <w:szCs w:val="20"/>
              </w:rPr>
            </w:pPr>
            <w:r w:rsidRPr="00683492">
              <w:rPr>
                <w:rFonts w:ascii="Calibri" w:hAnsi="Calibri" w:cs="Calibri"/>
                <w:sz w:val="20"/>
                <w:szCs w:val="20"/>
              </w:rPr>
              <w:t>30.15</w:t>
            </w:r>
          </w:p>
        </w:tc>
        <w:tc>
          <w:tcPr>
            <w:tcW w:w="1389" w:type="dxa"/>
            <w:vAlign w:val="bottom"/>
          </w:tcPr>
          <w:p w14:paraId="7B2FD6E5" w14:textId="77777777" w:rsidR="00825666" w:rsidRPr="00683492" w:rsidRDefault="00825666" w:rsidP="00F60E7C">
            <w:pPr>
              <w:contextualSpacing/>
              <w:jc w:val="center"/>
              <w:rPr>
                <w:rFonts w:ascii="Calibri" w:eastAsia="Times New Roman" w:hAnsi="Calibri" w:cs="Calibri"/>
                <w:sz w:val="20"/>
                <w:szCs w:val="20"/>
              </w:rPr>
            </w:pPr>
            <w:r w:rsidRPr="00683492">
              <w:rPr>
                <w:rFonts w:ascii="Calibri" w:hAnsi="Calibri" w:cs="Calibri"/>
                <w:sz w:val="20"/>
                <w:szCs w:val="20"/>
              </w:rPr>
              <w:t>28.64</w:t>
            </w:r>
          </w:p>
        </w:tc>
        <w:tc>
          <w:tcPr>
            <w:tcW w:w="1390" w:type="dxa"/>
            <w:vAlign w:val="bottom"/>
          </w:tcPr>
          <w:p w14:paraId="75540101" w14:textId="77777777" w:rsidR="00825666" w:rsidRPr="00683492" w:rsidRDefault="00825666" w:rsidP="00F60E7C">
            <w:pPr>
              <w:contextualSpacing/>
              <w:jc w:val="center"/>
              <w:rPr>
                <w:rFonts w:ascii="Calibri" w:eastAsia="Times New Roman" w:hAnsi="Calibri" w:cs="Calibri"/>
                <w:sz w:val="20"/>
                <w:szCs w:val="20"/>
              </w:rPr>
            </w:pPr>
            <w:r w:rsidRPr="00683492">
              <w:rPr>
                <w:rFonts w:ascii="Calibri" w:eastAsia="Times New Roman" w:hAnsi="Calibri" w:cs="Calibri"/>
                <w:sz w:val="20"/>
                <w:szCs w:val="20"/>
              </w:rPr>
              <w:t>37.00</w:t>
            </w:r>
          </w:p>
        </w:tc>
        <w:tc>
          <w:tcPr>
            <w:tcW w:w="1390" w:type="dxa"/>
            <w:vAlign w:val="bottom"/>
          </w:tcPr>
          <w:p w14:paraId="32B78045" w14:textId="77777777" w:rsidR="00825666" w:rsidRPr="00683492" w:rsidRDefault="00825666" w:rsidP="00F60E7C">
            <w:pPr>
              <w:contextualSpacing/>
              <w:jc w:val="center"/>
              <w:rPr>
                <w:rFonts w:ascii="Calibri" w:eastAsia="Times New Roman" w:hAnsi="Calibri" w:cs="Calibri"/>
                <w:sz w:val="20"/>
                <w:szCs w:val="20"/>
              </w:rPr>
            </w:pPr>
            <w:r w:rsidRPr="00683492">
              <w:rPr>
                <w:rFonts w:ascii="Calibri" w:eastAsia="Times New Roman" w:hAnsi="Calibri" w:cs="Calibri"/>
                <w:sz w:val="20"/>
                <w:szCs w:val="20"/>
              </w:rPr>
              <w:t>21.81</w:t>
            </w:r>
          </w:p>
        </w:tc>
      </w:tr>
      <w:tr w:rsidR="00825666" w:rsidRPr="00F11CDC" w14:paraId="11F80870" w14:textId="77777777" w:rsidTr="00033521">
        <w:tc>
          <w:tcPr>
            <w:tcW w:w="2628" w:type="dxa"/>
            <w:vAlign w:val="bottom"/>
          </w:tcPr>
          <w:p w14:paraId="2E249368" w14:textId="77777777" w:rsidR="00825666" w:rsidRPr="00F11CDC" w:rsidRDefault="00825666" w:rsidP="00F60E7C">
            <w:pPr>
              <w:contextualSpacing/>
              <w:jc w:val="center"/>
              <w:rPr>
                <w:rFonts w:ascii="Calibri" w:eastAsia="Times New Roman" w:hAnsi="Calibri" w:cs="Calibri"/>
                <w:color w:val="000000"/>
                <w:sz w:val="20"/>
                <w:szCs w:val="20"/>
              </w:rPr>
            </w:pPr>
            <w:r w:rsidRPr="00F11CDC">
              <w:rPr>
                <w:rFonts w:ascii="Calibri" w:eastAsia="Times New Roman" w:hAnsi="Calibri" w:cs="Calibri"/>
                <w:color w:val="000000"/>
                <w:sz w:val="20"/>
                <w:szCs w:val="20"/>
              </w:rPr>
              <w:t>6.50</w:t>
            </w:r>
          </w:p>
        </w:tc>
        <w:tc>
          <w:tcPr>
            <w:tcW w:w="1389" w:type="dxa"/>
            <w:vAlign w:val="bottom"/>
          </w:tcPr>
          <w:p w14:paraId="4C37B667" w14:textId="77777777" w:rsidR="00825666" w:rsidRPr="00683492" w:rsidRDefault="00825666" w:rsidP="00F60E7C">
            <w:pPr>
              <w:contextualSpacing/>
              <w:jc w:val="center"/>
              <w:rPr>
                <w:rFonts w:ascii="Calibri" w:eastAsia="Times New Roman" w:hAnsi="Calibri" w:cs="Calibri"/>
                <w:sz w:val="20"/>
                <w:szCs w:val="20"/>
              </w:rPr>
            </w:pPr>
            <w:r w:rsidRPr="00683492">
              <w:rPr>
                <w:rFonts w:ascii="Calibri" w:eastAsia="Times New Roman" w:hAnsi="Calibri" w:cs="Calibri"/>
                <w:sz w:val="20"/>
                <w:szCs w:val="20"/>
              </w:rPr>
              <w:t>31.44</w:t>
            </w:r>
          </w:p>
        </w:tc>
        <w:tc>
          <w:tcPr>
            <w:tcW w:w="1390" w:type="dxa"/>
            <w:vAlign w:val="bottom"/>
          </w:tcPr>
          <w:p w14:paraId="105D5B0C" w14:textId="77777777" w:rsidR="00825666" w:rsidRPr="00683492" w:rsidRDefault="00825666" w:rsidP="00F60E7C">
            <w:pPr>
              <w:contextualSpacing/>
              <w:jc w:val="center"/>
              <w:rPr>
                <w:rFonts w:ascii="Calibri" w:eastAsia="Times New Roman" w:hAnsi="Calibri" w:cs="Calibri"/>
                <w:sz w:val="20"/>
                <w:szCs w:val="20"/>
              </w:rPr>
            </w:pPr>
            <w:r w:rsidRPr="00683492">
              <w:rPr>
                <w:rFonts w:ascii="Calibri" w:hAnsi="Calibri" w:cs="Calibri"/>
                <w:sz w:val="20"/>
                <w:szCs w:val="20"/>
              </w:rPr>
              <w:t>32.54</w:t>
            </w:r>
          </w:p>
        </w:tc>
        <w:tc>
          <w:tcPr>
            <w:tcW w:w="1389" w:type="dxa"/>
            <w:vAlign w:val="bottom"/>
          </w:tcPr>
          <w:p w14:paraId="687A95BA" w14:textId="77777777" w:rsidR="00825666" w:rsidRPr="00683492" w:rsidRDefault="00825666" w:rsidP="00F60E7C">
            <w:pPr>
              <w:contextualSpacing/>
              <w:jc w:val="center"/>
              <w:rPr>
                <w:rFonts w:ascii="Calibri" w:eastAsia="Times New Roman" w:hAnsi="Calibri" w:cs="Calibri"/>
                <w:sz w:val="20"/>
                <w:szCs w:val="20"/>
              </w:rPr>
            </w:pPr>
            <w:r w:rsidRPr="00683492">
              <w:rPr>
                <w:rFonts w:ascii="Calibri" w:hAnsi="Calibri" w:cs="Calibri"/>
                <w:sz w:val="20"/>
                <w:szCs w:val="20"/>
              </w:rPr>
              <w:t>30.78</w:t>
            </w:r>
          </w:p>
        </w:tc>
        <w:tc>
          <w:tcPr>
            <w:tcW w:w="1390" w:type="dxa"/>
            <w:vAlign w:val="bottom"/>
          </w:tcPr>
          <w:p w14:paraId="41CEED84" w14:textId="77777777" w:rsidR="00825666" w:rsidRPr="00683492" w:rsidRDefault="00825666" w:rsidP="00F60E7C">
            <w:pPr>
              <w:contextualSpacing/>
              <w:jc w:val="center"/>
              <w:rPr>
                <w:rFonts w:ascii="Calibri" w:eastAsia="Times New Roman" w:hAnsi="Calibri" w:cs="Calibri"/>
                <w:sz w:val="20"/>
                <w:szCs w:val="20"/>
              </w:rPr>
            </w:pPr>
            <w:r w:rsidRPr="00683492">
              <w:rPr>
                <w:rFonts w:ascii="Calibri" w:eastAsia="Times New Roman" w:hAnsi="Calibri" w:cs="Calibri"/>
                <w:sz w:val="20"/>
                <w:szCs w:val="20"/>
              </w:rPr>
              <w:t>39.04</w:t>
            </w:r>
          </w:p>
        </w:tc>
        <w:tc>
          <w:tcPr>
            <w:tcW w:w="1390" w:type="dxa"/>
            <w:vAlign w:val="bottom"/>
          </w:tcPr>
          <w:p w14:paraId="3A7ABED7" w14:textId="77777777" w:rsidR="00825666" w:rsidRPr="00683492" w:rsidRDefault="00825666" w:rsidP="00F60E7C">
            <w:pPr>
              <w:contextualSpacing/>
              <w:jc w:val="center"/>
              <w:rPr>
                <w:rFonts w:ascii="Calibri" w:eastAsia="Times New Roman" w:hAnsi="Calibri" w:cs="Calibri"/>
                <w:sz w:val="20"/>
                <w:szCs w:val="20"/>
              </w:rPr>
            </w:pPr>
            <w:r w:rsidRPr="00683492">
              <w:rPr>
                <w:rFonts w:ascii="Calibri" w:eastAsia="Times New Roman" w:hAnsi="Calibri" w:cs="Calibri"/>
                <w:sz w:val="20"/>
                <w:szCs w:val="20"/>
              </w:rPr>
              <w:t>24.23</w:t>
            </w:r>
          </w:p>
        </w:tc>
      </w:tr>
      <w:tr w:rsidR="00825666" w:rsidRPr="00F11CDC" w14:paraId="6C00FF2C" w14:textId="77777777" w:rsidTr="00033521">
        <w:tc>
          <w:tcPr>
            <w:tcW w:w="2628" w:type="dxa"/>
            <w:vAlign w:val="bottom"/>
          </w:tcPr>
          <w:p w14:paraId="73686B5B" w14:textId="77777777" w:rsidR="00825666" w:rsidRPr="00F11CDC" w:rsidRDefault="00825666" w:rsidP="00F60E7C">
            <w:pPr>
              <w:contextualSpacing/>
              <w:jc w:val="center"/>
              <w:rPr>
                <w:rFonts w:ascii="Calibri" w:eastAsia="Times New Roman" w:hAnsi="Calibri" w:cs="Calibri"/>
                <w:color w:val="000000"/>
                <w:sz w:val="20"/>
                <w:szCs w:val="20"/>
              </w:rPr>
            </w:pPr>
            <w:r w:rsidRPr="00F11CDC">
              <w:rPr>
                <w:rFonts w:ascii="Calibri" w:eastAsia="Times New Roman" w:hAnsi="Calibri" w:cs="Calibri"/>
                <w:color w:val="000000"/>
                <w:sz w:val="20"/>
                <w:szCs w:val="20"/>
              </w:rPr>
              <w:t>6.25</w:t>
            </w:r>
          </w:p>
        </w:tc>
        <w:tc>
          <w:tcPr>
            <w:tcW w:w="1389" w:type="dxa"/>
            <w:vAlign w:val="bottom"/>
          </w:tcPr>
          <w:p w14:paraId="07EB6485" w14:textId="77777777" w:rsidR="00825666" w:rsidRPr="00683492" w:rsidRDefault="00825666" w:rsidP="00F60E7C">
            <w:pPr>
              <w:contextualSpacing/>
              <w:jc w:val="center"/>
              <w:rPr>
                <w:rFonts w:ascii="Calibri" w:eastAsia="Times New Roman" w:hAnsi="Calibri" w:cs="Calibri"/>
                <w:sz w:val="20"/>
                <w:szCs w:val="20"/>
              </w:rPr>
            </w:pPr>
            <w:r w:rsidRPr="00683492">
              <w:rPr>
                <w:rFonts w:ascii="Calibri" w:eastAsia="Times New Roman" w:hAnsi="Calibri" w:cs="Calibri"/>
                <w:sz w:val="20"/>
                <w:szCs w:val="20"/>
              </w:rPr>
              <w:t>33.71</w:t>
            </w:r>
          </w:p>
        </w:tc>
        <w:tc>
          <w:tcPr>
            <w:tcW w:w="1390" w:type="dxa"/>
            <w:vAlign w:val="bottom"/>
          </w:tcPr>
          <w:p w14:paraId="6C7BE95A" w14:textId="77777777" w:rsidR="00825666" w:rsidRPr="00683492" w:rsidRDefault="00825666" w:rsidP="00F60E7C">
            <w:pPr>
              <w:contextualSpacing/>
              <w:jc w:val="center"/>
              <w:rPr>
                <w:rFonts w:ascii="Calibri" w:eastAsia="Times New Roman" w:hAnsi="Calibri" w:cs="Calibri"/>
                <w:sz w:val="20"/>
                <w:szCs w:val="20"/>
              </w:rPr>
            </w:pPr>
            <w:r w:rsidRPr="00683492">
              <w:rPr>
                <w:rFonts w:ascii="Calibri" w:hAnsi="Calibri" w:cs="Calibri"/>
                <w:sz w:val="20"/>
                <w:szCs w:val="20"/>
              </w:rPr>
              <w:t>34.96</w:t>
            </w:r>
          </w:p>
        </w:tc>
        <w:tc>
          <w:tcPr>
            <w:tcW w:w="1389" w:type="dxa"/>
            <w:vAlign w:val="bottom"/>
          </w:tcPr>
          <w:p w14:paraId="68B413E2" w14:textId="77777777" w:rsidR="00825666" w:rsidRPr="00683492" w:rsidRDefault="00825666" w:rsidP="00F60E7C">
            <w:pPr>
              <w:contextualSpacing/>
              <w:jc w:val="center"/>
              <w:rPr>
                <w:rFonts w:ascii="Calibri" w:eastAsia="Times New Roman" w:hAnsi="Calibri" w:cs="Calibri"/>
                <w:sz w:val="20"/>
                <w:szCs w:val="20"/>
              </w:rPr>
            </w:pPr>
            <w:r w:rsidRPr="00683492">
              <w:rPr>
                <w:rFonts w:ascii="Calibri" w:hAnsi="Calibri" w:cs="Calibri"/>
                <w:sz w:val="20"/>
                <w:szCs w:val="20"/>
              </w:rPr>
              <w:t>32.96</w:t>
            </w:r>
          </w:p>
        </w:tc>
        <w:tc>
          <w:tcPr>
            <w:tcW w:w="1390" w:type="dxa"/>
            <w:vAlign w:val="bottom"/>
          </w:tcPr>
          <w:p w14:paraId="5F6BBE69" w14:textId="77777777" w:rsidR="00825666" w:rsidRPr="00683492" w:rsidRDefault="00825666" w:rsidP="00F60E7C">
            <w:pPr>
              <w:contextualSpacing/>
              <w:jc w:val="center"/>
              <w:rPr>
                <w:rFonts w:ascii="Calibri" w:eastAsia="Times New Roman" w:hAnsi="Calibri" w:cs="Calibri"/>
                <w:sz w:val="20"/>
                <w:szCs w:val="20"/>
              </w:rPr>
            </w:pPr>
            <w:r w:rsidRPr="00683492">
              <w:rPr>
                <w:rFonts w:ascii="Calibri" w:eastAsia="Times New Roman" w:hAnsi="Calibri" w:cs="Calibri"/>
                <w:sz w:val="20"/>
                <w:szCs w:val="20"/>
              </w:rPr>
              <w:t>41.12</w:t>
            </w:r>
          </w:p>
        </w:tc>
        <w:tc>
          <w:tcPr>
            <w:tcW w:w="1390" w:type="dxa"/>
            <w:vAlign w:val="bottom"/>
          </w:tcPr>
          <w:p w14:paraId="43749EE8" w14:textId="77777777" w:rsidR="00825666" w:rsidRPr="00683492" w:rsidRDefault="00825666" w:rsidP="00F60E7C">
            <w:pPr>
              <w:contextualSpacing/>
              <w:jc w:val="center"/>
              <w:rPr>
                <w:rFonts w:ascii="Calibri" w:eastAsia="Times New Roman" w:hAnsi="Calibri" w:cs="Calibri"/>
                <w:sz w:val="20"/>
                <w:szCs w:val="20"/>
              </w:rPr>
            </w:pPr>
            <w:r w:rsidRPr="00683492">
              <w:rPr>
                <w:rFonts w:ascii="Calibri" w:eastAsia="Times New Roman" w:hAnsi="Calibri" w:cs="Calibri"/>
                <w:sz w:val="20"/>
                <w:szCs w:val="20"/>
              </w:rPr>
              <w:t>26.68</w:t>
            </w:r>
          </w:p>
        </w:tc>
      </w:tr>
      <w:tr w:rsidR="00825666" w:rsidRPr="00F11CDC" w14:paraId="39643744" w14:textId="77777777" w:rsidTr="00033521">
        <w:tc>
          <w:tcPr>
            <w:tcW w:w="2628" w:type="dxa"/>
            <w:vAlign w:val="bottom"/>
          </w:tcPr>
          <w:p w14:paraId="7D4A3377" w14:textId="77777777" w:rsidR="00825666" w:rsidRPr="00F11CDC" w:rsidRDefault="00825666" w:rsidP="00F60E7C">
            <w:pPr>
              <w:contextualSpacing/>
              <w:jc w:val="center"/>
              <w:rPr>
                <w:rFonts w:ascii="Calibri" w:eastAsia="Times New Roman" w:hAnsi="Calibri" w:cs="Calibri"/>
                <w:color w:val="000000"/>
                <w:sz w:val="20"/>
                <w:szCs w:val="20"/>
              </w:rPr>
            </w:pPr>
            <w:r w:rsidRPr="00F11CDC">
              <w:rPr>
                <w:rFonts w:ascii="Calibri" w:eastAsia="Times New Roman" w:hAnsi="Calibri" w:cs="Calibri"/>
                <w:color w:val="000000"/>
                <w:sz w:val="20"/>
                <w:szCs w:val="20"/>
              </w:rPr>
              <w:t>6.00</w:t>
            </w:r>
          </w:p>
        </w:tc>
        <w:tc>
          <w:tcPr>
            <w:tcW w:w="1389" w:type="dxa"/>
            <w:vAlign w:val="bottom"/>
          </w:tcPr>
          <w:p w14:paraId="22A55F6F" w14:textId="77777777" w:rsidR="00825666" w:rsidRPr="00683492" w:rsidRDefault="00825666" w:rsidP="00F60E7C">
            <w:pPr>
              <w:contextualSpacing/>
              <w:jc w:val="center"/>
              <w:rPr>
                <w:rFonts w:ascii="Calibri" w:eastAsia="Times New Roman" w:hAnsi="Calibri" w:cs="Calibri"/>
                <w:sz w:val="20"/>
                <w:szCs w:val="20"/>
              </w:rPr>
            </w:pPr>
            <w:r w:rsidRPr="00683492">
              <w:rPr>
                <w:rFonts w:ascii="Calibri" w:eastAsia="Times New Roman" w:hAnsi="Calibri" w:cs="Calibri"/>
                <w:sz w:val="20"/>
                <w:szCs w:val="20"/>
              </w:rPr>
              <w:t>36.02</w:t>
            </w:r>
          </w:p>
        </w:tc>
        <w:tc>
          <w:tcPr>
            <w:tcW w:w="1390" w:type="dxa"/>
            <w:vAlign w:val="bottom"/>
          </w:tcPr>
          <w:p w14:paraId="3D4ADAE6" w14:textId="77777777" w:rsidR="00825666" w:rsidRPr="00683492" w:rsidRDefault="00825666" w:rsidP="00F60E7C">
            <w:pPr>
              <w:contextualSpacing/>
              <w:jc w:val="center"/>
              <w:rPr>
                <w:rFonts w:ascii="Calibri" w:eastAsia="Times New Roman" w:hAnsi="Calibri" w:cs="Calibri"/>
                <w:sz w:val="20"/>
                <w:szCs w:val="20"/>
              </w:rPr>
            </w:pPr>
            <w:r w:rsidRPr="00683492">
              <w:rPr>
                <w:rFonts w:ascii="Calibri" w:hAnsi="Calibri" w:cs="Calibri"/>
                <w:sz w:val="20"/>
                <w:szCs w:val="20"/>
              </w:rPr>
              <w:t>37.44</w:t>
            </w:r>
          </w:p>
        </w:tc>
        <w:tc>
          <w:tcPr>
            <w:tcW w:w="1389" w:type="dxa"/>
            <w:vAlign w:val="bottom"/>
          </w:tcPr>
          <w:p w14:paraId="7BBC7E85" w14:textId="77777777" w:rsidR="00825666" w:rsidRPr="00683492" w:rsidRDefault="00825666" w:rsidP="00F60E7C">
            <w:pPr>
              <w:contextualSpacing/>
              <w:jc w:val="center"/>
              <w:rPr>
                <w:rFonts w:ascii="Calibri" w:eastAsia="Times New Roman" w:hAnsi="Calibri" w:cs="Calibri"/>
                <w:sz w:val="20"/>
                <w:szCs w:val="20"/>
              </w:rPr>
            </w:pPr>
            <w:r w:rsidRPr="00683492">
              <w:rPr>
                <w:rFonts w:ascii="Calibri" w:hAnsi="Calibri" w:cs="Calibri"/>
                <w:sz w:val="20"/>
                <w:szCs w:val="20"/>
              </w:rPr>
              <w:t>35.18</w:t>
            </w:r>
          </w:p>
        </w:tc>
        <w:tc>
          <w:tcPr>
            <w:tcW w:w="1390" w:type="dxa"/>
            <w:vAlign w:val="bottom"/>
          </w:tcPr>
          <w:p w14:paraId="094EB3C6" w14:textId="77777777" w:rsidR="00825666" w:rsidRPr="00683492" w:rsidRDefault="00825666" w:rsidP="00F60E7C">
            <w:pPr>
              <w:contextualSpacing/>
              <w:jc w:val="center"/>
              <w:rPr>
                <w:rFonts w:ascii="Calibri" w:eastAsia="Times New Roman" w:hAnsi="Calibri" w:cs="Calibri"/>
                <w:sz w:val="20"/>
                <w:szCs w:val="20"/>
              </w:rPr>
            </w:pPr>
            <w:r w:rsidRPr="00683492">
              <w:rPr>
                <w:rFonts w:ascii="Calibri" w:eastAsia="Times New Roman" w:hAnsi="Calibri" w:cs="Calibri"/>
                <w:sz w:val="20"/>
                <w:szCs w:val="20"/>
              </w:rPr>
              <w:t>43.25</w:t>
            </w:r>
          </w:p>
        </w:tc>
        <w:tc>
          <w:tcPr>
            <w:tcW w:w="1390" w:type="dxa"/>
            <w:vAlign w:val="bottom"/>
          </w:tcPr>
          <w:p w14:paraId="2B53655C" w14:textId="77777777" w:rsidR="00825666" w:rsidRPr="00683492" w:rsidRDefault="00825666" w:rsidP="00F60E7C">
            <w:pPr>
              <w:contextualSpacing/>
              <w:jc w:val="center"/>
              <w:rPr>
                <w:rFonts w:ascii="Calibri" w:eastAsia="Times New Roman" w:hAnsi="Calibri" w:cs="Calibri"/>
                <w:sz w:val="20"/>
                <w:szCs w:val="20"/>
              </w:rPr>
            </w:pPr>
            <w:r w:rsidRPr="00683492">
              <w:rPr>
                <w:rFonts w:ascii="Calibri" w:eastAsia="Times New Roman" w:hAnsi="Calibri" w:cs="Calibri"/>
                <w:sz w:val="20"/>
                <w:szCs w:val="20"/>
              </w:rPr>
              <w:t>29.18</w:t>
            </w:r>
          </w:p>
        </w:tc>
      </w:tr>
      <w:tr w:rsidR="00825666" w:rsidRPr="00F11CDC" w14:paraId="5A8C14C1" w14:textId="77777777" w:rsidTr="00033521">
        <w:tc>
          <w:tcPr>
            <w:tcW w:w="2628" w:type="dxa"/>
            <w:vAlign w:val="bottom"/>
          </w:tcPr>
          <w:p w14:paraId="54A8F20F" w14:textId="2D2C78C9" w:rsidR="00825666" w:rsidRPr="00F11CDC" w:rsidRDefault="00825666" w:rsidP="00F60E7C">
            <w:pPr>
              <w:contextualSpacing/>
              <w:jc w:val="center"/>
              <w:rPr>
                <w:rFonts w:ascii="Calibri" w:eastAsia="Times New Roman" w:hAnsi="Calibri" w:cs="Calibri"/>
                <w:color w:val="000000"/>
                <w:sz w:val="20"/>
                <w:szCs w:val="20"/>
              </w:rPr>
            </w:pPr>
            <w:r w:rsidRPr="00F11CDC">
              <w:rPr>
                <w:rFonts w:ascii="Calibri" w:eastAsia="Times New Roman" w:hAnsi="Calibri" w:cs="Calibri"/>
                <w:color w:val="000000"/>
                <w:sz w:val="20"/>
                <w:szCs w:val="20"/>
              </w:rPr>
              <w:t>Average effect of 1</w:t>
            </w:r>
            <w:r w:rsidR="00AF599B">
              <w:rPr>
                <w:rFonts w:ascii="Calibri" w:eastAsia="Times New Roman" w:hAnsi="Calibri" w:cs="Calibri"/>
                <w:color w:val="000000"/>
                <w:sz w:val="20"/>
                <w:szCs w:val="20"/>
              </w:rPr>
              <w:t>%</w:t>
            </w:r>
            <w:r w:rsidRPr="00F11CDC">
              <w:rPr>
                <w:rFonts w:ascii="Calibri" w:eastAsia="Times New Roman" w:hAnsi="Calibri" w:cs="Calibri"/>
                <w:color w:val="000000"/>
                <w:sz w:val="20"/>
                <w:szCs w:val="20"/>
              </w:rPr>
              <w:t xml:space="preserve"> increase</w:t>
            </w:r>
          </w:p>
        </w:tc>
        <w:tc>
          <w:tcPr>
            <w:tcW w:w="1389" w:type="dxa"/>
            <w:vAlign w:val="bottom"/>
          </w:tcPr>
          <w:p w14:paraId="705B18CA" w14:textId="77777777" w:rsidR="00825666" w:rsidRPr="00683492" w:rsidRDefault="00825666" w:rsidP="00F60E7C">
            <w:pPr>
              <w:contextualSpacing/>
              <w:jc w:val="center"/>
              <w:rPr>
                <w:rFonts w:ascii="Calibri" w:eastAsia="Times New Roman" w:hAnsi="Calibri" w:cs="Calibri"/>
                <w:sz w:val="20"/>
                <w:szCs w:val="20"/>
              </w:rPr>
            </w:pPr>
            <w:r w:rsidRPr="00683492">
              <w:rPr>
                <w:rFonts w:ascii="Calibri" w:eastAsia="Times New Roman" w:hAnsi="Calibri" w:cs="Calibri"/>
                <w:sz w:val="20"/>
                <w:szCs w:val="20"/>
              </w:rPr>
              <w:t>-8.56</w:t>
            </w:r>
          </w:p>
        </w:tc>
        <w:tc>
          <w:tcPr>
            <w:tcW w:w="1390" w:type="dxa"/>
            <w:vAlign w:val="bottom"/>
          </w:tcPr>
          <w:p w14:paraId="71D2FA6F" w14:textId="77777777" w:rsidR="00825666" w:rsidRPr="00683492" w:rsidRDefault="00825666" w:rsidP="00F60E7C">
            <w:pPr>
              <w:contextualSpacing/>
              <w:jc w:val="center"/>
              <w:rPr>
                <w:rFonts w:ascii="Calibri" w:eastAsia="Times New Roman" w:hAnsi="Calibri" w:cs="Calibri"/>
                <w:sz w:val="20"/>
                <w:szCs w:val="20"/>
              </w:rPr>
            </w:pPr>
            <w:r w:rsidRPr="00683492">
              <w:rPr>
                <w:rFonts w:ascii="Calibri" w:hAnsi="Calibri" w:cs="Calibri"/>
                <w:sz w:val="20"/>
                <w:szCs w:val="20"/>
              </w:rPr>
              <w:t>-9.14</w:t>
            </w:r>
          </w:p>
        </w:tc>
        <w:tc>
          <w:tcPr>
            <w:tcW w:w="1389" w:type="dxa"/>
            <w:vAlign w:val="bottom"/>
          </w:tcPr>
          <w:p w14:paraId="45DE7AAC" w14:textId="77777777" w:rsidR="00825666" w:rsidRPr="00683492" w:rsidRDefault="00825666" w:rsidP="00F60E7C">
            <w:pPr>
              <w:contextualSpacing/>
              <w:jc w:val="center"/>
              <w:rPr>
                <w:rFonts w:ascii="Calibri" w:eastAsia="Times New Roman" w:hAnsi="Calibri" w:cs="Calibri"/>
                <w:sz w:val="20"/>
                <w:szCs w:val="20"/>
              </w:rPr>
            </w:pPr>
            <w:r w:rsidRPr="00683492">
              <w:rPr>
                <w:rFonts w:ascii="Calibri" w:hAnsi="Calibri" w:cs="Calibri"/>
                <w:sz w:val="20"/>
                <w:szCs w:val="20"/>
              </w:rPr>
              <w:t>-8.21</w:t>
            </w:r>
          </w:p>
        </w:tc>
        <w:tc>
          <w:tcPr>
            <w:tcW w:w="1390" w:type="dxa"/>
            <w:vAlign w:val="bottom"/>
          </w:tcPr>
          <w:p w14:paraId="0314E630" w14:textId="77777777" w:rsidR="00825666" w:rsidRPr="00683492" w:rsidRDefault="00825666" w:rsidP="00F60E7C">
            <w:pPr>
              <w:contextualSpacing/>
              <w:jc w:val="center"/>
              <w:rPr>
                <w:rFonts w:ascii="Calibri" w:eastAsia="Times New Roman" w:hAnsi="Calibri" w:cs="Calibri"/>
                <w:sz w:val="20"/>
                <w:szCs w:val="20"/>
              </w:rPr>
            </w:pPr>
            <w:r w:rsidRPr="00683492">
              <w:rPr>
                <w:rFonts w:ascii="Calibri" w:eastAsia="Times New Roman" w:hAnsi="Calibri" w:cs="Calibri"/>
                <w:sz w:val="20"/>
                <w:szCs w:val="20"/>
              </w:rPr>
              <w:t>-7.76</w:t>
            </w:r>
          </w:p>
        </w:tc>
        <w:tc>
          <w:tcPr>
            <w:tcW w:w="1390" w:type="dxa"/>
            <w:vAlign w:val="bottom"/>
          </w:tcPr>
          <w:p w14:paraId="53CF80C6" w14:textId="77777777" w:rsidR="00825666" w:rsidRPr="00683492" w:rsidRDefault="00825666" w:rsidP="00F60E7C">
            <w:pPr>
              <w:contextualSpacing/>
              <w:jc w:val="center"/>
              <w:rPr>
                <w:rFonts w:ascii="Calibri" w:eastAsia="Times New Roman" w:hAnsi="Calibri" w:cs="Calibri"/>
                <w:sz w:val="20"/>
                <w:szCs w:val="20"/>
              </w:rPr>
            </w:pPr>
            <w:r w:rsidRPr="00683492">
              <w:rPr>
                <w:rFonts w:ascii="Calibri" w:eastAsia="Times New Roman" w:hAnsi="Calibri" w:cs="Calibri"/>
                <w:sz w:val="20"/>
                <w:szCs w:val="20"/>
              </w:rPr>
              <w:t>-9.73</w:t>
            </w:r>
          </w:p>
        </w:tc>
      </w:tr>
      <w:tr w:rsidR="00825666" w:rsidRPr="00F11CDC" w14:paraId="4ED9E56F" w14:textId="77777777" w:rsidTr="00033521">
        <w:tc>
          <w:tcPr>
            <w:tcW w:w="9576" w:type="dxa"/>
            <w:gridSpan w:val="6"/>
            <w:vAlign w:val="bottom"/>
          </w:tcPr>
          <w:p w14:paraId="4B052560" w14:textId="77777777" w:rsidR="00825666" w:rsidRPr="00F11CDC" w:rsidRDefault="00825666" w:rsidP="00F60E7C">
            <w:pPr>
              <w:contextualSpacing/>
              <w:rPr>
                <w:rFonts w:ascii="Calibri" w:eastAsia="Times New Roman" w:hAnsi="Calibri" w:cs="Calibri"/>
                <w:b/>
                <w:color w:val="000000"/>
                <w:sz w:val="20"/>
                <w:szCs w:val="20"/>
              </w:rPr>
            </w:pPr>
          </w:p>
          <w:p w14:paraId="1F77B7FB" w14:textId="77777777" w:rsidR="00825666" w:rsidRPr="00F11CDC" w:rsidRDefault="00825666" w:rsidP="00F60E7C">
            <w:pPr>
              <w:contextualSpacing/>
              <w:rPr>
                <w:rFonts w:ascii="Calibri" w:eastAsia="Times New Roman" w:hAnsi="Calibri" w:cs="Calibri"/>
                <w:b/>
                <w:sz w:val="20"/>
                <w:szCs w:val="20"/>
              </w:rPr>
            </w:pPr>
            <w:r w:rsidRPr="00F11CDC">
              <w:rPr>
                <w:rFonts w:ascii="Calibri" w:eastAsia="Times New Roman" w:hAnsi="Calibri" w:cs="Calibri"/>
                <w:b/>
                <w:color w:val="000000"/>
                <w:sz w:val="20"/>
                <w:szCs w:val="20"/>
              </w:rPr>
              <w:t>Panel B: Salary Growth Rate Assumption (median observed value is 5.68</w:t>
            </w:r>
            <w:r>
              <w:rPr>
                <w:rFonts w:ascii="Calibri" w:eastAsia="Times New Roman" w:hAnsi="Calibri" w:cs="Calibri"/>
                <w:b/>
                <w:color w:val="000000"/>
                <w:sz w:val="20"/>
                <w:szCs w:val="20"/>
              </w:rPr>
              <w:t>%</w:t>
            </w:r>
            <w:r w:rsidRPr="00F11CDC">
              <w:rPr>
                <w:rFonts w:ascii="Calibri" w:eastAsia="Times New Roman" w:hAnsi="Calibri" w:cs="Calibri"/>
                <w:b/>
                <w:color w:val="000000"/>
                <w:sz w:val="20"/>
                <w:szCs w:val="20"/>
              </w:rPr>
              <w:t>)</w:t>
            </w:r>
          </w:p>
        </w:tc>
      </w:tr>
      <w:tr w:rsidR="00825666" w:rsidRPr="00F11CDC" w14:paraId="4A3766E4" w14:textId="77777777" w:rsidTr="00033521">
        <w:tc>
          <w:tcPr>
            <w:tcW w:w="2628" w:type="dxa"/>
            <w:vAlign w:val="bottom"/>
          </w:tcPr>
          <w:p w14:paraId="1843B795" w14:textId="77777777" w:rsidR="00825666" w:rsidRPr="00F11CDC" w:rsidRDefault="00825666" w:rsidP="00F60E7C">
            <w:pPr>
              <w:contextualSpacing/>
              <w:jc w:val="center"/>
              <w:rPr>
                <w:rFonts w:ascii="Calibri" w:eastAsia="Times New Roman" w:hAnsi="Calibri" w:cs="Calibri"/>
                <w:color w:val="000000"/>
                <w:sz w:val="20"/>
                <w:szCs w:val="20"/>
              </w:rPr>
            </w:pPr>
            <w:r w:rsidRPr="00F11CDC">
              <w:rPr>
                <w:rFonts w:ascii="Calibri" w:eastAsia="Times New Roman" w:hAnsi="Calibri" w:cs="Calibri"/>
                <w:color w:val="000000"/>
                <w:sz w:val="20"/>
                <w:szCs w:val="20"/>
              </w:rPr>
              <w:t>8.00</w:t>
            </w:r>
          </w:p>
        </w:tc>
        <w:tc>
          <w:tcPr>
            <w:tcW w:w="1389" w:type="dxa"/>
            <w:vAlign w:val="bottom"/>
          </w:tcPr>
          <w:p w14:paraId="78E683F3" w14:textId="77777777" w:rsidR="00825666" w:rsidRPr="00683492" w:rsidRDefault="00825666" w:rsidP="00F60E7C">
            <w:pPr>
              <w:contextualSpacing/>
              <w:jc w:val="center"/>
              <w:rPr>
                <w:rFonts w:ascii="Calibri" w:eastAsia="Times New Roman" w:hAnsi="Calibri" w:cs="Calibri"/>
                <w:sz w:val="20"/>
                <w:szCs w:val="20"/>
              </w:rPr>
            </w:pPr>
            <w:r w:rsidRPr="00683492">
              <w:rPr>
                <w:rFonts w:ascii="Calibri" w:eastAsia="Times New Roman" w:hAnsi="Calibri" w:cs="Calibri"/>
                <w:sz w:val="20"/>
                <w:szCs w:val="20"/>
              </w:rPr>
              <w:t>34.58</w:t>
            </w:r>
          </w:p>
        </w:tc>
        <w:tc>
          <w:tcPr>
            <w:tcW w:w="1390" w:type="dxa"/>
            <w:vAlign w:val="bottom"/>
          </w:tcPr>
          <w:p w14:paraId="3E6103A7" w14:textId="77777777" w:rsidR="00825666" w:rsidRPr="00683492" w:rsidRDefault="00825666" w:rsidP="00F60E7C">
            <w:pPr>
              <w:contextualSpacing/>
              <w:jc w:val="center"/>
              <w:rPr>
                <w:rFonts w:ascii="Calibri" w:eastAsia="Times New Roman" w:hAnsi="Calibri" w:cs="Calibri"/>
                <w:sz w:val="20"/>
                <w:szCs w:val="20"/>
              </w:rPr>
            </w:pPr>
            <w:r w:rsidRPr="00683492">
              <w:rPr>
                <w:rFonts w:ascii="Calibri" w:hAnsi="Calibri" w:cs="Calibri"/>
                <w:sz w:val="20"/>
                <w:szCs w:val="20"/>
              </w:rPr>
              <w:t>29.23</w:t>
            </w:r>
          </w:p>
        </w:tc>
        <w:tc>
          <w:tcPr>
            <w:tcW w:w="1389" w:type="dxa"/>
            <w:vAlign w:val="bottom"/>
          </w:tcPr>
          <w:p w14:paraId="2AD5F99B" w14:textId="77777777" w:rsidR="00825666" w:rsidRPr="00683492" w:rsidRDefault="00825666" w:rsidP="00F60E7C">
            <w:pPr>
              <w:contextualSpacing/>
              <w:jc w:val="center"/>
              <w:rPr>
                <w:rFonts w:ascii="Calibri" w:eastAsia="Times New Roman" w:hAnsi="Calibri" w:cs="Calibri"/>
                <w:sz w:val="20"/>
                <w:szCs w:val="20"/>
              </w:rPr>
            </w:pPr>
            <w:r w:rsidRPr="00683492">
              <w:rPr>
                <w:rFonts w:ascii="Calibri" w:hAnsi="Calibri" w:cs="Calibri"/>
                <w:sz w:val="20"/>
                <w:szCs w:val="20"/>
              </w:rPr>
              <w:t>37.77</w:t>
            </w:r>
          </w:p>
        </w:tc>
        <w:tc>
          <w:tcPr>
            <w:tcW w:w="1390" w:type="dxa"/>
            <w:vAlign w:val="bottom"/>
          </w:tcPr>
          <w:p w14:paraId="6DD58446" w14:textId="77777777" w:rsidR="00825666" w:rsidRPr="00683492" w:rsidRDefault="00825666" w:rsidP="00F60E7C">
            <w:pPr>
              <w:contextualSpacing/>
              <w:jc w:val="center"/>
              <w:rPr>
                <w:rFonts w:ascii="Calibri" w:eastAsia="Times New Roman" w:hAnsi="Calibri" w:cs="Calibri"/>
                <w:sz w:val="20"/>
                <w:szCs w:val="20"/>
              </w:rPr>
            </w:pPr>
            <w:r w:rsidRPr="00683492">
              <w:rPr>
                <w:rFonts w:ascii="Calibri" w:eastAsia="Times New Roman" w:hAnsi="Calibri" w:cs="Calibri"/>
                <w:sz w:val="20"/>
                <w:szCs w:val="20"/>
              </w:rPr>
              <w:t>43.38</w:t>
            </w:r>
          </w:p>
        </w:tc>
        <w:tc>
          <w:tcPr>
            <w:tcW w:w="1390" w:type="dxa"/>
            <w:vAlign w:val="bottom"/>
          </w:tcPr>
          <w:p w14:paraId="334070E2" w14:textId="77777777" w:rsidR="00825666" w:rsidRPr="00683492" w:rsidRDefault="00825666" w:rsidP="00F60E7C">
            <w:pPr>
              <w:contextualSpacing/>
              <w:jc w:val="center"/>
              <w:rPr>
                <w:rFonts w:ascii="Calibri" w:eastAsia="Times New Roman" w:hAnsi="Calibri" w:cs="Calibri"/>
                <w:sz w:val="20"/>
                <w:szCs w:val="20"/>
              </w:rPr>
            </w:pPr>
            <w:r w:rsidRPr="00683492">
              <w:rPr>
                <w:rFonts w:ascii="Calibri" w:eastAsia="Times New Roman" w:hAnsi="Calibri" w:cs="Calibri"/>
                <w:sz w:val="20"/>
                <w:szCs w:val="20"/>
              </w:rPr>
              <w:t>26.24</w:t>
            </w:r>
          </w:p>
        </w:tc>
      </w:tr>
      <w:tr w:rsidR="00825666" w:rsidRPr="00F11CDC" w14:paraId="00339E42" w14:textId="77777777" w:rsidTr="00033521">
        <w:tc>
          <w:tcPr>
            <w:tcW w:w="2628" w:type="dxa"/>
            <w:vAlign w:val="bottom"/>
          </w:tcPr>
          <w:p w14:paraId="4A731C08" w14:textId="77777777" w:rsidR="00825666" w:rsidRPr="00F11CDC" w:rsidRDefault="00825666" w:rsidP="00F60E7C">
            <w:pPr>
              <w:contextualSpacing/>
              <w:jc w:val="center"/>
              <w:rPr>
                <w:rFonts w:ascii="Calibri" w:eastAsia="Times New Roman" w:hAnsi="Calibri" w:cs="Calibri"/>
                <w:color w:val="000000"/>
                <w:sz w:val="20"/>
                <w:szCs w:val="20"/>
              </w:rPr>
            </w:pPr>
            <w:r w:rsidRPr="00F11CDC">
              <w:rPr>
                <w:rFonts w:ascii="Calibri" w:eastAsia="Times New Roman" w:hAnsi="Calibri" w:cs="Calibri"/>
                <w:color w:val="000000"/>
                <w:sz w:val="20"/>
                <w:szCs w:val="20"/>
              </w:rPr>
              <w:t>7.50</w:t>
            </w:r>
          </w:p>
        </w:tc>
        <w:tc>
          <w:tcPr>
            <w:tcW w:w="1389" w:type="dxa"/>
            <w:vAlign w:val="bottom"/>
          </w:tcPr>
          <w:p w14:paraId="3D074BA1" w14:textId="77777777" w:rsidR="00825666" w:rsidRPr="00683492" w:rsidRDefault="00825666" w:rsidP="00F60E7C">
            <w:pPr>
              <w:contextualSpacing/>
              <w:jc w:val="center"/>
              <w:rPr>
                <w:rFonts w:ascii="Calibri" w:eastAsia="Times New Roman" w:hAnsi="Calibri" w:cs="Calibri"/>
                <w:sz w:val="20"/>
                <w:szCs w:val="20"/>
              </w:rPr>
            </w:pPr>
            <w:r w:rsidRPr="00683492">
              <w:rPr>
                <w:rFonts w:ascii="Calibri" w:eastAsia="Times New Roman" w:hAnsi="Calibri" w:cs="Calibri"/>
                <w:sz w:val="20"/>
                <w:szCs w:val="20"/>
              </w:rPr>
              <w:t>30.36</w:t>
            </w:r>
          </w:p>
        </w:tc>
        <w:tc>
          <w:tcPr>
            <w:tcW w:w="1390" w:type="dxa"/>
            <w:vAlign w:val="bottom"/>
          </w:tcPr>
          <w:p w14:paraId="5BED2878" w14:textId="77777777" w:rsidR="00825666" w:rsidRPr="00683492" w:rsidRDefault="00825666" w:rsidP="00F60E7C">
            <w:pPr>
              <w:contextualSpacing/>
              <w:jc w:val="center"/>
              <w:rPr>
                <w:rFonts w:ascii="Calibri" w:eastAsia="Times New Roman" w:hAnsi="Calibri" w:cs="Calibri"/>
                <w:sz w:val="20"/>
                <w:szCs w:val="20"/>
              </w:rPr>
            </w:pPr>
            <w:r w:rsidRPr="00683492">
              <w:rPr>
                <w:rFonts w:ascii="Calibri" w:hAnsi="Calibri" w:cs="Calibri"/>
                <w:sz w:val="20"/>
                <w:szCs w:val="20"/>
              </w:rPr>
              <w:t>26.77</w:t>
            </w:r>
          </w:p>
        </w:tc>
        <w:tc>
          <w:tcPr>
            <w:tcW w:w="1389" w:type="dxa"/>
            <w:vAlign w:val="bottom"/>
          </w:tcPr>
          <w:p w14:paraId="34365A49" w14:textId="77777777" w:rsidR="00825666" w:rsidRPr="00683492" w:rsidRDefault="00825666" w:rsidP="00F60E7C">
            <w:pPr>
              <w:contextualSpacing/>
              <w:jc w:val="center"/>
              <w:rPr>
                <w:rFonts w:ascii="Calibri" w:eastAsia="Times New Roman" w:hAnsi="Calibri" w:cs="Calibri"/>
                <w:sz w:val="20"/>
                <w:szCs w:val="20"/>
              </w:rPr>
            </w:pPr>
            <w:r w:rsidRPr="00683492">
              <w:rPr>
                <w:rFonts w:ascii="Calibri" w:hAnsi="Calibri" w:cs="Calibri"/>
                <w:sz w:val="20"/>
                <w:szCs w:val="20"/>
              </w:rPr>
              <w:t>32.50</w:t>
            </w:r>
          </w:p>
        </w:tc>
        <w:tc>
          <w:tcPr>
            <w:tcW w:w="1390" w:type="dxa"/>
            <w:vAlign w:val="bottom"/>
          </w:tcPr>
          <w:p w14:paraId="2432826E" w14:textId="77777777" w:rsidR="00825666" w:rsidRPr="00683492" w:rsidRDefault="00825666" w:rsidP="00F60E7C">
            <w:pPr>
              <w:contextualSpacing/>
              <w:jc w:val="center"/>
              <w:rPr>
                <w:rFonts w:ascii="Calibri" w:eastAsia="Times New Roman" w:hAnsi="Calibri" w:cs="Calibri"/>
                <w:sz w:val="20"/>
                <w:szCs w:val="20"/>
              </w:rPr>
            </w:pPr>
            <w:r w:rsidRPr="00683492">
              <w:rPr>
                <w:rFonts w:ascii="Calibri" w:eastAsia="Times New Roman" w:hAnsi="Calibri" w:cs="Calibri"/>
                <w:sz w:val="20"/>
                <w:szCs w:val="20"/>
              </w:rPr>
              <w:t>39.16</w:t>
            </w:r>
          </w:p>
        </w:tc>
        <w:tc>
          <w:tcPr>
            <w:tcW w:w="1390" w:type="dxa"/>
            <w:vAlign w:val="bottom"/>
          </w:tcPr>
          <w:p w14:paraId="40C27C9E" w14:textId="77777777" w:rsidR="00825666" w:rsidRPr="00683492" w:rsidRDefault="00825666" w:rsidP="00F60E7C">
            <w:pPr>
              <w:contextualSpacing/>
              <w:jc w:val="center"/>
              <w:rPr>
                <w:rFonts w:ascii="Calibri" w:eastAsia="Times New Roman" w:hAnsi="Calibri" w:cs="Calibri"/>
                <w:sz w:val="20"/>
                <w:szCs w:val="20"/>
              </w:rPr>
            </w:pPr>
            <w:r w:rsidRPr="00683492">
              <w:rPr>
                <w:rFonts w:ascii="Calibri" w:eastAsia="Times New Roman" w:hAnsi="Calibri" w:cs="Calibri"/>
                <w:sz w:val="20"/>
                <w:szCs w:val="20"/>
              </w:rPr>
              <w:t>22.02</w:t>
            </w:r>
          </w:p>
        </w:tc>
      </w:tr>
      <w:tr w:rsidR="00825666" w:rsidRPr="00F11CDC" w14:paraId="42093728" w14:textId="77777777" w:rsidTr="00033521">
        <w:tc>
          <w:tcPr>
            <w:tcW w:w="2628" w:type="dxa"/>
            <w:vAlign w:val="bottom"/>
          </w:tcPr>
          <w:p w14:paraId="574AE9D2" w14:textId="77777777" w:rsidR="00825666" w:rsidRPr="00F11CDC" w:rsidRDefault="00825666" w:rsidP="00F60E7C">
            <w:pPr>
              <w:contextualSpacing/>
              <w:jc w:val="center"/>
              <w:rPr>
                <w:rFonts w:ascii="Calibri" w:eastAsia="Times New Roman" w:hAnsi="Calibri" w:cs="Calibri"/>
                <w:color w:val="000000"/>
                <w:sz w:val="20"/>
                <w:szCs w:val="20"/>
              </w:rPr>
            </w:pPr>
            <w:r w:rsidRPr="00F11CDC">
              <w:rPr>
                <w:rFonts w:ascii="Calibri" w:eastAsia="Times New Roman" w:hAnsi="Calibri" w:cs="Calibri"/>
                <w:color w:val="000000"/>
                <w:sz w:val="20"/>
                <w:szCs w:val="20"/>
              </w:rPr>
              <w:t>7.00</w:t>
            </w:r>
          </w:p>
        </w:tc>
        <w:tc>
          <w:tcPr>
            <w:tcW w:w="1389" w:type="dxa"/>
            <w:vAlign w:val="bottom"/>
          </w:tcPr>
          <w:p w14:paraId="6FF8FEB2" w14:textId="77777777" w:rsidR="00825666" w:rsidRPr="00683492" w:rsidRDefault="00825666" w:rsidP="00F60E7C">
            <w:pPr>
              <w:contextualSpacing/>
              <w:jc w:val="center"/>
              <w:rPr>
                <w:rFonts w:ascii="Calibri" w:eastAsia="Times New Roman" w:hAnsi="Calibri" w:cs="Calibri"/>
                <w:sz w:val="20"/>
                <w:szCs w:val="20"/>
              </w:rPr>
            </w:pPr>
            <w:r w:rsidRPr="00683492">
              <w:rPr>
                <w:rFonts w:ascii="Calibri" w:eastAsia="Times New Roman" w:hAnsi="Calibri" w:cs="Calibri"/>
                <w:sz w:val="20"/>
                <w:szCs w:val="20"/>
              </w:rPr>
              <w:t>26.61</w:t>
            </w:r>
          </w:p>
        </w:tc>
        <w:tc>
          <w:tcPr>
            <w:tcW w:w="1390" w:type="dxa"/>
            <w:vAlign w:val="bottom"/>
          </w:tcPr>
          <w:p w14:paraId="3E4FDFFC" w14:textId="77777777" w:rsidR="00825666" w:rsidRPr="00683492" w:rsidRDefault="00825666" w:rsidP="00F60E7C">
            <w:pPr>
              <w:contextualSpacing/>
              <w:jc w:val="center"/>
              <w:rPr>
                <w:rFonts w:ascii="Calibri" w:eastAsia="Times New Roman" w:hAnsi="Calibri" w:cs="Calibri"/>
                <w:sz w:val="20"/>
                <w:szCs w:val="20"/>
              </w:rPr>
            </w:pPr>
            <w:r w:rsidRPr="00683492">
              <w:rPr>
                <w:rFonts w:ascii="Calibri" w:hAnsi="Calibri" w:cs="Calibri"/>
                <w:sz w:val="20"/>
                <w:szCs w:val="20"/>
              </w:rPr>
              <w:t>24.43</w:t>
            </w:r>
          </w:p>
        </w:tc>
        <w:tc>
          <w:tcPr>
            <w:tcW w:w="1389" w:type="dxa"/>
            <w:vAlign w:val="bottom"/>
          </w:tcPr>
          <w:p w14:paraId="1950A0FD" w14:textId="77777777" w:rsidR="00825666" w:rsidRPr="00683492" w:rsidRDefault="00825666" w:rsidP="00F60E7C">
            <w:pPr>
              <w:contextualSpacing/>
              <w:jc w:val="center"/>
              <w:rPr>
                <w:rFonts w:ascii="Calibri" w:eastAsia="Times New Roman" w:hAnsi="Calibri" w:cs="Calibri"/>
                <w:sz w:val="20"/>
                <w:szCs w:val="20"/>
              </w:rPr>
            </w:pPr>
            <w:r w:rsidRPr="00683492">
              <w:rPr>
                <w:rFonts w:ascii="Calibri" w:hAnsi="Calibri" w:cs="Calibri"/>
                <w:sz w:val="20"/>
                <w:szCs w:val="20"/>
              </w:rPr>
              <w:t>27.91</w:t>
            </w:r>
          </w:p>
        </w:tc>
        <w:tc>
          <w:tcPr>
            <w:tcW w:w="1390" w:type="dxa"/>
            <w:vAlign w:val="bottom"/>
          </w:tcPr>
          <w:p w14:paraId="453CC69A" w14:textId="77777777" w:rsidR="00825666" w:rsidRPr="00683492" w:rsidRDefault="00825666" w:rsidP="00F60E7C">
            <w:pPr>
              <w:contextualSpacing/>
              <w:jc w:val="center"/>
              <w:rPr>
                <w:rFonts w:ascii="Calibri" w:eastAsia="Times New Roman" w:hAnsi="Calibri" w:cs="Calibri"/>
                <w:sz w:val="20"/>
                <w:szCs w:val="20"/>
              </w:rPr>
            </w:pPr>
            <w:r w:rsidRPr="00683492">
              <w:rPr>
                <w:rFonts w:ascii="Calibri" w:eastAsia="Times New Roman" w:hAnsi="Calibri" w:cs="Calibri"/>
                <w:sz w:val="20"/>
                <w:szCs w:val="20"/>
              </w:rPr>
              <w:t>35.41</w:t>
            </w:r>
          </w:p>
        </w:tc>
        <w:tc>
          <w:tcPr>
            <w:tcW w:w="1390" w:type="dxa"/>
            <w:vAlign w:val="bottom"/>
          </w:tcPr>
          <w:p w14:paraId="479BE0BB" w14:textId="77777777" w:rsidR="00825666" w:rsidRPr="00683492" w:rsidRDefault="00825666" w:rsidP="00F60E7C">
            <w:pPr>
              <w:contextualSpacing/>
              <w:jc w:val="center"/>
              <w:rPr>
                <w:rFonts w:ascii="Calibri" w:eastAsia="Times New Roman" w:hAnsi="Calibri" w:cs="Calibri"/>
                <w:sz w:val="20"/>
                <w:szCs w:val="20"/>
              </w:rPr>
            </w:pPr>
            <w:r w:rsidRPr="00683492">
              <w:rPr>
                <w:rFonts w:ascii="Calibri" w:eastAsia="Times New Roman" w:hAnsi="Calibri" w:cs="Calibri"/>
                <w:sz w:val="20"/>
                <w:szCs w:val="20"/>
              </w:rPr>
              <w:t>18.27</w:t>
            </w:r>
          </w:p>
        </w:tc>
      </w:tr>
      <w:tr w:rsidR="00825666" w:rsidRPr="00F11CDC" w14:paraId="03A224B3" w14:textId="77777777" w:rsidTr="00033521">
        <w:tc>
          <w:tcPr>
            <w:tcW w:w="2628" w:type="dxa"/>
            <w:vAlign w:val="bottom"/>
          </w:tcPr>
          <w:p w14:paraId="7695CF79" w14:textId="77777777" w:rsidR="00825666" w:rsidRPr="00F11CDC" w:rsidRDefault="00825666" w:rsidP="00F60E7C">
            <w:pPr>
              <w:contextualSpacing/>
              <w:jc w:val="center"/>
              <w:rPr>
                <w:rFonts w:ascii="Calibri" w:eastAsia="Times New Roman" w:hAnsi="Calibri" w:cs="Calibri"/>
                <w:color w:val="000000"/>
                <w:sz w:val="20"/>
                <w:szCs w:val="20"/>
              </w:rPr>
            </w:pPr>
            <w:r w:rsidRPr="00F11CDC">
              <w:rPr>
                <w:rFonts w:ascii="Calibri" w:eastAsia="Times New Roman" w:hAnsi="Calibri" w:cs="Calibri"/>
                <w:color w:val="000000"/>
                <w:sz w:val="20"/>
                <w:szCs w:val="20"/>
              </w:rPr>
              <w:t>6.50</w:t>
            </w:r>
          </w:p>
        </w:tc>
        <w:tc>
          <w:tcPr>
            <w:tcW w:w="1389" w:type="dxa"/>
            <w:vAlign w:val="bottom"/>
          </w:tcPr>
          <w:p w14:paraId="6C453BE8" w14:textId="77777777" w:rsidR="00825666" w:rsidRPr="00683492" w:rsidRDefault="00825666" w:rsidP="00F60E7C">
            <w:pPr>
              <w:contextualSpacing/>
              <w:jc w:val="center"/>
              <w:rPr>
                <w:rFonts w:ascii="Calibri" w:eastAsia="Times New Roman" w:hAnsi="Calibri" w:cs="Calibri"/>
                <w:sz w:val="20"/>
                <w:szCs w:val="20"/>
              </w:rPr>
            </w:pPr>
            <w:r w:rsidRPr="00683492">
              <w:rPr>
                <w:rFonts w:ascii="Calibri" w:eastAsia="Times New Roman" w:hAnsi="Calibri" w:cs="Calibri"/>
                <w:sz w:val="20"/>
                <w:szCs w:val="20"/>
              </w:rPr>
              <w:t>23.27</w:t>
            </w:r>
          </w:p>
        </w:tc>
        <w:tc>
          <w:tcPr>
            <w:tcW w:w="1390" w:type="dxa"/>
            <w:vAlign w:val="bottom"/>
          </w:tcPr>
          <w:p w14:paraId="37182326" w14:textId="77777777" w:rsidR="00825666" w:rsidRPr="00683492" w:rsidRDefault="00825666" w:rsidP="00F60E7C">
            <w:pPr>
              <w:contextualSpacing/>
              <w:jc w:val="center"/>
              <w:rPr>
                <w:rFonts w:ascii="Calibri" w:eastAsia="Times New Roman" w:hAnsi="Calibri" w:cs="Calibri"/>
                <w:sz w:val="20"/>
                <w:szCs w:val="20"/>
              </w:rPr>
            </w:pPr>
            <w:r w:rsidRPr="00683492">
              <w:rPr>
                <w:rFonts w:ascii="Calibri" w:hAnsi="Calibri" w:cs="Calibri"/>
                <w:sz w:val="20"/>
                <w:szCs w:val="20"/>
              </w:rPr>
              <w:t>22.19</w:t>
            </w:r>
          </w:p>
        </w:tc>
        <w:tc>
          <w:tcPr>
            <w:tcW w:w="1389" w:type="dxa"/>
            <w:vAlign w:val="bottom"/>
          </w:tcPr>
          <w:p w14:paraId="340949FD" w14:textId="77777777" w:rsidR="00825666" w:rsidRPr="00683492" w:rsidRDefault="00825666" w:rsidP="00F60E7C">
            <w:pPr>
              <w:contextualSpacing/>
              <w:jc w:val="center"/>
              <w:rPr>
                <w:rFonts w:ascii="Calibri" w:eastAsia="Times New Roman" w:hAnsi="Calibri" w:cs="Calibri"/>
                <w:sz w:val="20"/>
                <w:szCs w:val="20"/>
              </w:rPr>
            </w:pPr>
            <w:r w:rsidRPr="00683492">
              <w:rPr>
                <w:rFonts w:ascii="Calibri" w:hAnsi="Calibri" w:cs="Calibri"/>
                <w:sz w:val="20"/>
                <w:szCs w:val="20"/>
              </w:rPr>
              <w:t>23.92</w:t>
            </w:r>
          </w:p>
        </w:tc>
        <w:tc>
          <w:tcPr>
            <w:tcW w:w="1390" w:type="dxa"/>
            <w:vAlign w:val="bottom"/>
          </w:tcPr>
          <w:p w14:paraId="636838F0" w14:textId="77777777" w:rsidR="00825666" w:rsidRPr="00683492" w:rsidRDefault="00825666" w:rsidP="00F60E7C">
            <w:pPr>
              <w:contextualSpacing/>
              <w:jc w:val="center"/>
              <w:rPr>
                <w:rFonts w:ascii="Calibri" w:eastAsia="Times New Roman" w:hAnsi="Calibri" w:cs="Calibri"/>
                <w:sz w:val="20"/>
                <w:szCs w:val="20"/>
              </w:rPr>
            </w:pPr>
            <w:r w:rsidRPr="00683492">
              <w:rPr>
                <w:rFonts w:ascii="Calibri" w:eastAsia="Times New Roman" w:hAnsi="Calibri" w:cs="Calibri"/>
                <w:sz w:val="20"/>
                <w:szCs w:val="20"/>
              </w:rPr>
              <w:t>32.07</w:t>
            </w:r>
          </w:p>
        </w:tc>
        <w:tc>
          <w:tcPr>
            <w:tcW w:w="1390" w:type="dxa"/>
            <w:vAlign w:val="bottom"/>
          </w:tcPr>
          <w:p w14:paraId="305D3AB6" w14:textId="77777777" w:rsidR="00825666" w:rsidRPr="00683492" w:rsidRDefault="00825666" w:rsidP="00F60E7C">
            <w:pPr>
              <w:contextualSpacing/>
              <w:jc w:val="center"/>
              <w:rPr>
                <w:rFonts w:ascii="Calibri" w:eastAsia="Times New Roman" w:hAnsi="Calibri" w:cs="Calibri"/>
                <w:sz w:val="20"/>
                <w:szCs w:val="20"/>
              </w:rPr>
            </w:pPr>
            <w:r w:rsidRPr="00683492">
              <w:rPr>
                <w:rFonts w:ascii="Calibri" w:eastAsia="Times New Roman" w:hAnsi="Calibri" w:cs="Calibri"/>
                <w:sz w:val="20"/>
                <w:szCs w:val="20"/>
              </w:rPr>
              <w:t>14.93</w:t>
            </w:r>
          </w:p>
        </w:tc>
      </w:tr>
      <w:tr w:rsidR="00825666" w:rsidRPr="00F11CDC" w14:paraId="070A1E68" w14:textId="77777777" w:rsidTr="00033521">
        <w:tc>
          <w:tcPr>
            <w:tcW w:w="2628" w:type="dxa"/>
            <w:vAlign w:val="bottom"/>
          </w:tcPr>
          <w:p w14:paraId="7E668C90" w14:textId="77777777" w:rsidR="00825666" w:rsidRPr="00F11CDC" w:rsidRDefault="00825666" w:rsidP="00F60E7C">
            <w:pPr>
              <w:contextualSpacing/>
              <w:jc w:val="center"/>
              <w:rPr>
                <w:rFonts w:ascii="Calibri" w:eastAsia="Times New Roman" w:hAnsi="Calibri" w:cs="Calibri"/>
                <w:color w:val="000000"/>
                <w:sz w:val="20"/>
                <w:szCs w:val="20"/>
              </w:rPr>
            </w:pPr>
            <w:r w:rsidRPr="00F11CDC">
              <w:rPr>
                <w:rFonts w:ascii="Calibri" w:eastAsia="Times New Roman" w:hAnsi="Calibri" w:cs="Calibri"/>
                <w:color w:val="000000"/>
                <w:sz w:val="20"/>
                <w:szCs w:val="20"/>
              </w:rPr>
              <w:t>6.00</w:t>
            </w:r>
          </w:p>
        </w:tc>
        <w:tc>
          <w:tcPr>
            <w:tcW w:w="1389" w:type="dxa"/>
            <w:vAlign w:val="bottom"/>
          </w:tcPr>
          <w:p w14:paraId="3F2B7097" w14:textId="77777777" w:rsidR="00825666" w:rsidRPr="00683492" w:rsidRDefault="00825666" w:rsidP="00F60E7C">
            <w:pPr>
              <w:contextualSpacing/>
              <w:jc w:val="center"/>
              <w:rPr>
                <w:rFonts w:ascii="Calibri" w:eastAsia="Times New Roman" w:hAnsi="Calibri" w:cs="Calibri"/>
                <w:sz w:val="20"/>
                <w:szCs w:val="20"/>
              </w:rPr>
            </w:pPr>
            <w:r w:rsidRPr="00683492">
              <w:rPr>
                <w:rFonts w:ascii="Calibri" w:eastAsia="Times New Roman" w:hAnsi="Calibri" w:cs="Calibri"/>
                <w:sz w:val="20"/>
                <w:szCs w:val="20"/>
              </w:rPr>
              <w:t>20.29</w:t>
            </w:r>
          </w:p>
        </w:tc>
        <w:tc>
          <w:tcPr>
            <w:tcW w:w="1390" w:type="dxa"/>
            <w:vAlign w:val="bottom"/>
          </w:tcPr>
          <w:p w14:paraId="008B2980" w14:textId="77777777" w:rsidR="00825666" w:rsidRPr="00683492" w:rsidRDefault="00825666" w:rsidP="00F60E7C">
            <w:pPr>
              <w:contextualSpacing/>
              <w:jc w:val="center"/>
              <w:rPr>
                <w:rFonts w:ascii="Calibri" w:eastAsia="Times New Roman" w:hAnsi="Calibri" w:cs="Calibri"/>
                <w:sz w:val="20"/>
                <w:szCs w:val="20"/>
              </w:rPr>
            </w:pPr>
            <w:r w:rsidRPr="00683492">
              <w:rPr>
                <w:rFonts w:ascii="Calibri" w:hAnsi="Calibri" w:cs="Calibri"/>
                <w:sz w:val="20"/>
                <w:szCs w:val="20"/>
              </w:rPr>
              <w:t>20.06</w:t>
            </w:r>
          </w:p>
        </w:tc>
        <w:tc>
          <w:tcPr>
            <w:tcW w:w="1389" w:type="dxa"/>
            <w:vAlign w:val="bottom"/>
          </w:tcPr>
          <w:p w14:paraId="75C3C267" w14:textId="77777777" w:rsidR="00825666" w:rsidRPr="00683492" w:rsidRDefault="00825666" w:rsidP="00F60E7C">
            <w:pPr>
              <w:contextualSpacing/>
              <w:jc w:val="center"/>
              <w:rPr>
                <w:rFonts w:ascii="Calibri" w:eastAsia="Times New Roman" w:hAnsi="Calibri" w:cs="Calibri"/>
                <w:sz w:val="20"/>
                <w:szCs w:val="20"/>
              </w:rPr>
            </w:pPr>
            <w:r w:rsidRPr="00683492">
              <w:rPr>
                <w:rFonts w:ascii="Calibri" w:hAnsi="Calibri" w:cs="Calibri"/>
                <w:sz w:val="20"/>
                <w:szCs w:val="20"/>
              </w:rPr>
              <w:t>20.43</w:t>
            </w:r>
          </w:p>
        </w:tc>
        <w:tc>
          <w:tcPr>
            <w:tcW w:w="1390" w:type="dxa"/>
            <w:vAlign w:val="bottom"/>
          </w:tcPr>
          <w:p w14:paraId="7205DE61" w14:textId="77777777" w:rsidR="00825666" w:rsidRPr="00683492" w:rsidRDefault="00825666" w:rsidP="00F60E7C">
            <w:pPr>
              <w:contextualSpacing/>
              <w:jc w:val="center"/>
              <w:rPr>
                <w:rFonts w:ascii="Calibri" w:eastAsia="Times New Roman" w:hAnsi="Calibri" w:cs="Calibri"/>
                <w:sz w:val="20"/>
                <w:szCs w:val="20"/>
              </w:rPr>
            </w:pPr>
            <w:r w:rsidRPr="00683492">
              <w:rPr>
                <w:rFonts w:ascii="Calibri" w:eastAsia="Times New Roman" w:hAnsi="Calibri" w:cs="Calibri"/>
                <w:sz w:val="20"/>
                <w:szCs w:val="20"/>
              </w:rPr>
              <w:t>29.09</w:t>
            </w:r>
          </w:p>
        </w:tc>
        <w:tc>
          <w:tcPr>
            <w:tcW w:w="1390" w:type="dxa"/>
            <w:vAlign w:val="bottom"/>
          </w:tcPr>
          <w:p w14:paraId="6631294B" w14:textId="77777777" w:rsidR="00825666" w:rsidRPr="00683492" w:rsidRDefault="00825666" w:rsidP="00F60E7C">
            <w:pPr>
              <w:contextualSpacing/>
              <w:jc w:val="center"/>
              <w:rPr>
                <w:rFonts w:ascii="Calibri" w:eastAsia="Times New Roman" w:hAnsi="Calibri" w:cs="Calibri"/>
                <w:sz w:val="20"/>
                <w:szCs w:val="20"/>
              </w:rPr>
            </w:pPr>
            <w:r w:rsidRPr="00683492">
              <w:rPr>
                <w:rFonts w:ascii="Calibri" w:eastAsia="Times New Roman" w:hAnsi="Calibri" w:cs="Calibri"/>
                <w:sz w:val="20"/>
                <w:szCs w:val="20"/>
              </w:rPr>
              <w:t>11.95</w:t>
            </w:r>
          </w:p>
        </w:tc>
      </w:tr>
      <w:tr w:rsidR="00825666" w:rsidRPr="00F11CDC" w14:paraId="4BDE6DE2" w14:textId="77777777" w:rsidTr="00033521">
        <w:tc>
          <w:tcPr>
            <w:tcW w:w="2628" w:type="dxa"/>
            <w:vAlign w:val="bottom"/>
          </w:tcPr>
          <w:p w14:paraId="2A3D2E6F" w14:textId="77777777" w:rsidR="00825666" w:rsidRPr="00F11CDC" w:rsidRDefault="00825666" w:rsidP="00F60E7C">
            <w:pPr>
              <w:contextualSpacing/>
              <w:jc w:val="center"/>
              <w:rPr>
                <w:rFonts w:ascii="Calibri" w:eastAsia="Times New Roman" w:hAnsi="Calibri" w:cs="Calibri"/>
                <w:color w:val="000000"/>
                <w:sz w:val="20"/>
                <w:szCs w:val="20"/>
              </w:rPr>
            </w:pPr>
            <w:r w:rsidRPr="00F11CDC">
              <w:rPr>
                <w:rFonts w:ascii="Calibri" w:eastAsia="Times New Roman" w:hAnsi="Calibri" w:cs="Calibri"/>
                <w:color w:val="000000"/>
                <w:sz w:val="20"/>
                <w:szCs w:val="20"/>
              </w:rPr>
              <w:t>5.50</w:t>
            </w:r>
          </w:p>
        </w:tc>
        <w:tc>
          <w:tcPr>
            <w:tcW w:w="1389" w:type="dxa"/>
            <w:shd w:val="clear" w:color="auto" w:fill="D9D9D9" w:themeFill="background1" w:themeFillShade="D9"/>
            <w:vAlign w:val="bottom"/>
          </w:tcPr>
          <w:p w14:paraId="082B2A13" w14:textId="77777777" w:rsidR="00825666" w:rsidRPr="00683492" w:rsidRDefault="00825666" w:rsidP="00F60E7C">
            <w:pPr>
              <w:contextualSpacing/>
              <w:jc w:val="center"/>
              <w:rPr>
                <w:rFonts w:ascii="Calibri" w:eastAsia="Times New Roman" w:hAnsi="Calibri" w:cs="Calibri"/>
                <w:sz w:val="20"/>
                <w:szCs w:val="20"/>
              </w:rPr>
            </w:pPr>
            <w:r w:rsidRPr="00683492">
              <w:rPr>
                <w:rFonts w:ascii="Calibri" w:eastAsia="Times New Roman" w:hAnsi="Calibri" w:cs="Calibri"/>
                <w:sz w:val="20"/>
                <w:szCs w:val="20"/>
              </w:rPr>
              <w:t>17.63</w:t>
            </w:r>
          </w:p>
        </w:tc>
        <w:tc>
          <w:tcPr>
            <w:tcW w:w="1390" w:type="dxa"/>
            <w:vAlign w:val="bottom"/>
          </w:tcPr>
          <w:p w14:paraId="7AF9D4E5" w14:textId="77777777" w:rsidR="00825666" w:rsidRPr="00683492" w:rsidRDefault="00825666" w:rsidP="00F60E7C">
            <w:pPr>
              <w:contextualSpacing/>
              <w:jc w:val="center"/>
              <w:rPr>
                <w:rFonts w:ascii="Calibri" w:eastAsia="Times New Roman" w:hAnsi="Calibri" w:cs="Calibri"/>
                <w:sz w:val="20"/>
                <w:szCs w:val="20"/>
              </w:rPr>
            </w:pPr>
            <w:r w:rsidRPr="00683492">
              <w:rPr>
                <w:rFonts w:ascii="Calibri" w:hAnsi="Calibri" w:cs="Calibri"/>
                <w:sz w:val="20"/>
                <w:szCs w:val="20"/>
              </w:rPr>
              <w:t>18.06</w:t>
            </w:r>
          </w:p>
        </w:tc>
        <w:tc>
          <w:tcPr>
            <w:tcW w:w="1389" w:type="dxa"/>
            <w:vAlign w:val="bottom"/>
          </w:tcPr>
          <w:p w14:paraId="5D6945A8" w14:textId="77777777" w:rsidR="00825666" w:rsidRPr="00683492" w:rsidRDefault="00825666" w:rsidP="00F60E7C">
            <w:pPr>
              <w:contextualSpacing/>
              <w:jc w:val="center"/>
              <w:rPr>
                <w:rFonts w:ascii="Calibri" w:eastAsia="Times New Roman" w:hAnsi="Calibri" w:cs="Calibri"/>
                <w:sz w:val="20"/>
                <w:szCs w:val="20"/>
              </w:rPr>
            </w:pPr>
            <w:r w:rsidRPr="00683492">
              <w:rPr>
                <w:rFonts w:ascii="Calibri" w:hAnsi="Calibri" w:cs="Calibri"/>
                <w:sz w:val="20"/>
                <w:szCs w:val="20"/>
              </w:rPr>
              <w:t>17.37</w:t>
            </w:r>
          </w:p>
        </w:tc>
        <w:tc>
          <w:tcPr>
            <w:tcW w:w="1390" w:type="dxa"/>
            <w:vAlign w:val="bottom"/>
          </w:tcPr>
          <w:p w14:paraId="2AA23099" w14:textId="77777777" w:rsidR="00825666" w:rsidRPr="00683492" w:rsidRDefault="00825666" w:rsidP="00F60E7C">
            <w:pPr>
              <w:contextualSpacing/>
              <w:jc w:val="center"/>
              <w:rPr>
                <w:rFonts w:ascii="Calibri" w:eastAsia="Times New Roman" w:hAnsi="Calibri" w:cs="Calibri"/>
                <w:sz w:val="20"/>
                <w:szCs w:val="20"/>
              </w:rPr>
            </w:pPr>
            <w:r w:rsidRPr="00683492">
              <w:rPr>
                <w:rFonts w:ascii="Calibri" w:eastAsia="Times New Roman" w:hAnsi="Calibri" w:cs="Calibri"/>
                <w:sz w:val="20"/>
                <w:szCs w:val="20"/>
              </w:rPr>
              <w:t>26.42</w:t>
            </w:r>
          </w:p>
        </w:tc>
        <w:tc>
          <w:tcPr>
            <w:tcW w:w="1390" w:type="dxa"/>
            <w:vAlign w:val="bottom"/>
          </w:tcPr>
          <w:p w14:paraId="2B2F2D02" w14:textId="77777777" w:rsidR="00825666" w:rsidRPr="00683492" w:rsidRDefault="00825666" w:rsidP="00F60E7C">
            <w:pPr>
              <w:contextualSpacing/>
              <w:jc w:val="center"/>
              <w:rPr>
                <w:rFonts w:ascii="Calibri" w:eastAsia="Times New Roman" w:hAnsi="Calibri" w:cs="Calibri"/>
                <w:sz w:val="20"/>
                <w:szCs w:val="20"/>
              </w:rPr>
            </w:pPr>
            <w:r w:rsidRPr="00683492">
              <w:rPr>
                <w:rFonts w:ascii="Calibri" w:eastAsia="Times New Roman" w:hAnsi="Calibri" w:cs="Calibri"/>
                <w:sz w:val="20"/>
                <w:szCs w:val="20"/>
              </w:rPr>
              <w:t>9.29</w:t>
            </w:r>
          </w:p>
        </w:tc>
      </w:tr>
      <w:tr w:rsidR="00825666" w:rsidRPr="00F11CDC" w14:paraId="0B9AF974" w14:textId="77777777" w:rsidTr="00033521">
        <w:tc>
          <w:tcPr>
            <w:tcW w:w="2628" w:type="dxa"/>
            <w:vAlign w:val="bottom"/>
          </w:tcPr>
          <w:p w14:paraId="2F2A4DDF" w14:textId="77777777" w:rsidR="00825666" w:rsidRPr="00F11CDC" w:rsidRDefault="00825666" w:rsidP="00F60E7C">
            <w:pPr>
              <w:contextualSpacing/>
              <w:jc w:val="center"/>
              <w:rPr>
                <w:rFonts w:ascii="Calibri" w:eastAsia="Times New Roman" w:hAnsi="Calibri" w:cs="Calibri"/>
                <w:color w:val="000000"/>
                <w:sz w:val="20"/>
                <w:szCs w:val="20"/>
              </w:rPr>
            </w:pPr>
            <w:r w:rsidRPr="00F11CDC">
              <w:rPr>
                <w:rFonts w:ascii="Calibri" w:eastAsia="Times New Roman" w:hAnsi="Calibri" w:cs="Calibri"/>
                <w:color w:val="000000"/>
                <w:sz w:val="20"/>
                <w:szCs w:val="20"/>
              </w:rPr>
              <w:t>5.00</w:t>
            </w:r>
          </w:p>
        </w:tc>
        <w:tc>
          <w:tcPr>
            <w:tcW w:w="1389" w:type="dxa"/>
            <w:vAlign w:val="bottom"/>
          </w:tcPr>
          <w:p w14:paraId="04FA2487" w14:textId="77777777" w:rsidR="00825666" w:rsidRPr="00683492" w:rsidRDefault="00825666" w:rsidP="00F60E7C">
            <w:pPr>
              <w:contextualSpacing/>
              <w:jc w:val="center"/>
              <w:rPr>
                <w:rFonts w:ascii="Calibri" w:eastAsia="Times New Roman" w:hAnsi="Calibri" w:cs="Calibri"/>
                <w:sz w:val="20"/>
                <w:szCs w:val="20"/>
              </w:rPr>
            </w:pPr>
            <w:r w:rsidRPr="00683492">
              <w:rPr>
                <w:rFonts w:ascii="Calibri" w:eastAsia="Times New Roman" w:hAnsi="Calibri" w:cs="Calibri"/>
                <w:sz w:val="20"/>
                <w:szCs w:val="20"/>
              </w:rPr>
              <w:t>15.24</w:t>
            </w:r>
          </w:p>
        </w:tc>
        <w:tc>
          <w:tcPr>
            <w:tcW w:w="1390" w:type="dxa"/>
            <w:vAlign w:val="bottom"/>
          </w:tcPr>
          <w:p w14:paraId="0B581195" w14:textId="77777777" w:rsidR="00825666" w:rsidRPr="00683492" w:rsidRDefault="00825666" w:rsidP="00F60E7C">
            <w:pPr>
              <w:contextualSpacing/>
              <w:jc w:val="center"/>
              <w:rPr>
                <w:rFonts w:ascii="Calibri" w:eastAsia="Times New Roman" w:hAnsi="Calibri" w:cs="Calibri"/>
                <w:sz w:val="20"/>
                <w:szCs w:val="20"/>
              </w:rPr>
            </w:pPr>
            <w:r w:rsidRPr="00683492">
              <w:rPr>
                <w:rFonts w:ascii="Calibri" w:hAnsi="Calibri" w:cs="Calibri"/>
                <w:sz w:val="20"/>
                <w:szCs w:val="20"/>
              </w:rPr>
              <w:t>16.17</w:t>
            </w:r>
          </w:p>
        </w:tc>
        <w:tc>
          <w:tcPr>
            <w:tcW w:w="1389" w:type="dxa"/>
            <w:vAlign w:val="bottom"/>
          </w:tcPr>
          <w:p w14:paraId="4CA73FFE" w14:textId="77777777" w:rsidR="00825666" w:rsidRPr="00683492" w:rsidRDefault="00825666" w:rsidP="00F60E7C">
            <w:pPr>
              <w:contextualSpacing/>
              <w:jc w:val="center"/>
              <w:rPr>
                <w:rFonts w:ascii="Calibri" w:eastAsia="Times New Roman" w:hAnsi="Calibri" w:cs="Calibri"/>
                <w:sz w:val="20"/>
                <w:szCs w:val="20"/>
              </w:rPr>
            </w:pPr>
            <w:r w:rsidRPr="00683492">
              <w:rPr>
                <w:rFonts w:ascii="Calibri" w:hAnsi="Calibri" w:cs="Calibri"/>
                <w:sz w:val="20"/>
                <w:szCs w:val="20"/>
              </w:rPr>
              <w:t>14.68</w:t>
            </w:r>
          </w:p>
        </w:tc>
        <w:tc>
          <w:tcPr>
            <w:tcW w:w="1390" w:type="dxa"/>
            <w:vAlign w:val="bottom"/>
          </w:tcPr>
          <w:p w14:paraId="474EDC53" w14:textId="77777777" w:rsidR="00825666" w:rsidRPr="00683492" w:rsidRDefault="00825666" w:rsidP="00F60E7C">
            <w:pPr>
              <w:contextualSpacing/>
              <w:jc w:val="center"/>
              <w:rPr>
                <w:rFonts w:ascii="Calibri" w:eastAsia="Times New Roman" w:hAnsi="Calibri" w:cs="Calibri"/>
                <w:sz w:val="20"/>
                <w:szCs w:val="20"/>
              </w:rPr>
            </w:pPr>
            <w:r w:rsidRPr="00683492">
              <w:rPr>
                <w:rFonts w:ascii="Calibri" w:eastAsia="Times New Roman" w:hAnsi="Calibri" w:cs="Calibri"/>
                <w:sz w:val="20"/>
                <w:szCs w:val="20"/>
              </w:rPr>
              <w:t>24.03</w:t>
            </w:r>
          </w:p>
        </w:tc>
        <w:tc>
          <w:tcPr>
            <w:tcW w:w="1390" w:type="dxa"/>
            <w:vAlign w:val="bottom"/>
          </w:tcPr>
          <w:p w14:paraId="376728F4" w14:textId="77777777" w:rsidR="00825666" w:rsidRPr="00683492" w:rsidRDefault="00825666" w:rsidP="00F60E7C">
            <w:pPr>
              <w:contextualSpacing/>
              <w:jc w:val="center"/>
              <w:rPr>
                <w:rFonts w:ascii="Calibri" w:eastAsia="Times New Roman" w:hAnsi="Calibri" w:cs="Calibri"/>
                <w:sz w:val="20"/>
                <w:szCs w:val="20"/>
              </w:rPr>
            </w:pPr>
            <w:r w:rsidRPr="00683492">
              <w:rPr>
                <w:rFonts w:ascii="Calibri" w:eastAsia="Times New Roman" w:hAnsi="Calibri" w:cs="Calibri"/>
                <w:sz w:val="20"/>
                <w:szCs w:val="20"/>
              </w:rPr>
              <w:t>6.90</w:t>
            </w:r>
          </w:p>
        </w:tc>
      </w:tr>
      <w:tr w:rsidR="00825666" w:rsidRPr="00F11CDC" w14:paraId="53AEB837" w14:textId="77777777" w:rsidTr="00033521">
        <w:tc>
          <w:tcPr>
            <w:tcW w:w="2628" w:type="dxa"/>
            <w:vAlign w:val="bottom"/>
          </w:tcPr>
          <w:p w14:paraId="53607E54" w14:textId="77777777" w:rsidR="00825666" w:rsidRPr="00F11CDC" w:rsidRDefault="00825666" w:rsidP="00F60E7C">
            <w:pPr>
              <w:contextualSpacing/>
              <w:jc w:val="center"/>
              <w:rPr>
                <w:rFonts w:ascii="Calibri" w:eastAsia="Times New Roman" w:hAnsi="Calibri" w:cs="Calibri"/>
                <w:color w:val="000000"/>
                <w:sz w:val="20"/>
                <w:szCs w:val="20"/>
              </w:rPr>
            </w:pPr>
            <w:r w:rsidRPr="00F11CDC">
              <w:rPr>
                <w:rFonts w:ascii="Calibri" w:eastAsia="Times New Roman" w:hAnsi="Calibri" w:cs="Calibri"/>
                <w:color w:val="000000"/>
                <w:sz w:val="20"/>
                <w:szCs w:val="20"/>
              </w:rPr>
              <w:t>4.50</w:t>
            </w:r>
          </w:p>
        </w:tc>
        <w:tc>
          <w:tcPr>
            <w:tcW w:w="1389" w:type="dxa"/>
            <w:vAlign w:val="bottom"/>
          </w:tcPr>
          <w:p w14:paraId="37DB3648" w14:textId="77777777" w:rsidR="00825666" w:rsidRPr="00683492" w:rsidRDefault="00825666" w:rsidP="00F60E7C">
            <w:pPr>
              <w:contextualSpacing/>
              <w:jc w:val="center"/>
              <w:rPr>
                <w:rFonts w:ascii="Calibri" w:eastAsia="Times New Roman" w:hAnsi="Calibri" w:cs="Calibri"/>
                <w:sz w:val="20"/>
                <w:szCs w:val="20"/>
              </w:rPr>
            </w:pPr>
            <w:r w:rsidRPr="00683492">
              <w:rPr>
                <w:rFonts w:ascii="Calibri" w:eastAsia="Times New Roman" w:hAnsi="Calibri" w:cs="Calibri"/>
                <w:sz w:val="20"/>
                <w:szCs w:val="20"/>
              </w:rPr>
              <w:t>13.09</w:t>
            </w:r>
          </w:p>
        </w:tc>
        <w:tc>
          <w:tcPr>
            <w:tcW w:w="1390" w:type="dxa"/>
            <w:vAlign w:val="bottom"/>
          </w:tcPr>
          <w:p w14:paraId="6FBE32DB" w14:textId="77777777" w:rsidR="00825666" w:rsidRPr="00683492" w:rsidRDefault="00825666" w:rsidP="00F60E7C">
            <w:pPr>
              <w:contextualSpacing/>
              <w:jc w:val="center"/>
              <w:rPr>
                <w:rFonts w:ascii="Calibri" w:eastAsia="Times New Roman" w:hAnsi="Calibri" w:cs="Calibri"/>
                <w:sz w:val="20"/>
                <w:szCs w:val="20"/>
              </w:rPr>
            </w:pPr>
            <w:r w:rsidRPr="00683492">
              <w:rPr>
                <w:rFonts w:ascii="Calibri" w:hAnsi="Calibri" w:cs="Calibri"/>
                <w:sz w:val="20"/>
                <w:szCs w:val="20"/>
              </w:rPr>
              <w:t>14.39</w:t>
            </w:r>
          </w:p>
        </w:tc>
        <w:tc>
          <w:tcPr>
            <w:tcW w:w="1389" w:type="dxa"/>
            <w:vAlign w:val="bottom"/>
          </w:tcPr>
          <w:p w14:paraId="6EB1FF6E" w14:textId="77777777" w:rsidR="00825666" w:rsidRPr="00683492" w:rsidRDefault="00825666" w:rsidP="00F60E7C">
            <w:pPr>
              <w:contextualSpacing/>
              <w:jc w:val="center"/>
              <w:rPr>
                <w:rFonts w:ascii="Calibri" w:eastAsia="Times New Roman" w:hAnsi="Calibri" w:cs="Calibri"/>
                <w:sz w:val="20"/>
                <w:szCs w:val="20"/>
              </w:rPr>
            </w:pPr>
            <w:r w:rsidRPr="00683492">
              <w:rPr>
                <w:rFonts w:ascii="Calibri" w:hAnsi="Calibri" w:cs="Calibri"/>
                <w:sz w:val="20"/>
                <w:szCs w:val="20"/>
              </w:rPr>
              <w:t>12.32</w:t>
            </w:r>
          </w:p>
        </w:tc>
        <w:tc>
          <w:tcPr>
            <w:tcW w:w="1390" w:type="dxa"/>
            <w:vAlign w:val="bottom"/>
          </w:tcPr>
          <w:p w14:paraId="3DA1132D" w14:textId="77777777" w:rsidR="00825666" w:rsidRPr="00683492" w:rsidRDefault="00825666" w:rsidP="00F60E7C">
            <w:pPr>
              <w:contextualSpacing/>
              <w:jc w:val="center"/>
              <w:rPr>
                <w:rFonts w:ascii="Calibri" w:eastAsia="Times New Roman" w:hAnsi="Calibri" w:cs="Calibri"/>
                <w:sz w:val="20"/>
                <w:szCs w:val="20"/>
              </w:rPr>
            </w:pPr>
            <w:r w:rsidRPr="00683492">
              <w:rPr>
                <w:rFonts w:ascii="Calibri" w:eastAsia="Times New Roman" w:hAnsi="Calibri" w:cs="Calibri"/>
                <w:sz w:val="20"/>
                <w:szCs w:val="20"/>
              </w:rPr>
              <w:t>21.89</w:t>
            </w:r>
          </w:p>
        </w:tc>
        <w:tc>
          <w:tcPr>
            <w:tcW w:w="1390" w:type="dxa"/>
            <w:vAlign w:val="bottom"/>
          </w:tcPr>
          <w:p w14:paraId="676974B2" w14:textId="77777777" w:rsidR="00825666" w:rsidRPr="00683492" w:rsidRDefault="00825666" w:rsidP="00F60E7C">
            <w:pPr>
              <w:contextualSpacing/>
              <w:jc w:val="center"/>
              <w:rPr>
                <w:rFonts w:ascii="Calibri" w:eastAsia="Times New Roman" w:hAnsi="Calibri" w:cs="Calibri"/>
                <w:sz w:val="20"/>
                <w:szCs w:val="20"/>
              </w:rPr>
            </w:pPr>
            <w:r w:rsidRPr="00683492">
              <w:rPr>
                <w:rFonts w:ascii="Calibri" w:eastAsia="Times New Roman" w:hAnsi="Calibri" w:cs="Calibri"/>
                <w:sz w:val="20"/>
                <w:szCs w:val="20"/>
              </w:rPr>
              <w:t>4.75</w:t>
            </w:r>
          </w:p>
        </w:tc>
      </w:tr>
      <w:tr w:rsidR="00825666" w:rsidRPr="00F11CDC" w14:paraId="2F9695EB" w14:textId="77777777" w:rsidTr="00033521">
        <w:tc>
          <w:tcPr>
            <w:tcW w:w="2628" w:type="dxa"/>
            <w:vAlign w:val="bottom"/>
          </w:tcPr>
          <w:p w14:paraId="70DDF0DE" w14:textId="77777777" w:rsidR="00825666" w:rsidRPr="00F11CDC" w:rsidRDefault="00825666" w:rsidP="00F60E7C">
            <w:pPr>
              <w:contextualSpacing/>
              <w:jc w:val="center"/>
              <w:rPr>
                <w:rFonts w:ascii="Calibri" w:eastAsia="Times New Roman" w:hAnsi="Calibri" w:cs="Calibri"/>
                <w:color w:val="000000"/>
                <w:sz w:val="20"/>
                <w:szCs w:val="20"/>
              </w:rPr>
            </w:pPr>
            <w:r w:rsidRPr="00F11CDC">
              <w:rPr>
                <w:rFonts w:ascii="Calibri" w:eastAsia="Times New Roman" w:hAnsi="Calibri" w:cs="Calibri"/>
                <w:color w:val="000000"/>
                <w:sz w:val="20"/>
                <w:szCs w:val="20"/>
              </w:rPr>
              <w:t>4.00</w:t>
            </w:r>
          </w:p>
        </w:tc>
        <w:tc>
          <w:tcPr>
            <w:tcW w:w="1389" w:type="dxa"/>
            <w:vAlign w:val="bottom"/>
          </w:tcPr>
          <w:p w14:paraId="0D6E5B27" w14:textId="77777777" w:rsidR="00825666" w:rsidRPr="00683492" w:rsidRDefault="00825666" w:rsidP="00F60E7C">
            <w:pPr>
              <w:contextualSpacing/>
              <w:jc w:val="center"/>
              <w:rPr>
                <w:rFonts w:ascii="Calibri" w:eastAsia="Times New Roman" w:hAnsi="Calibri" w:cs="Calibri"/>
                <w:sz w:val="20"/>
                <w:szCs w:val="20"/>
              </w:rPr>
            </w:pPr>
            <w:r w:rsidRPr="00683492">
              <w:rPr>
                <w:rFonts w:ascii="Calibri" w:eastAsia="Times New Roman" w:hAnsi="Calibri" w:cs="Calibri"/>
                <w:sz w:val="20"/>
                <w:szCs w:val="20"/>
              </w:rPr>
              <w:t>11.16</w:t>
            </w:r>
          </w:p>
        </w:tc>
        <w:tc>
          <w:tcPr>
            <w:tcW w:w="1390" w:type="dxa"/>
            <w:vAlign w:val="bottom"/>
          </w:tcPr>
          <w:p w14:paraId="5DABAD39" w14:textId="77777777" w:rsidR="00825666" w:rsidRPr="00683492" w:rsidRDefault="00825666" w:rsidP="00F60E7C">
            <w:pPr>
              <w:contextualSpacing/>
              <w:jc w:val="center"/>
              <w:rPr>
                <w:rFonts w:ascii="Calibri" w:eastAsia="Times New Roman" w:hAnsi="Calibri" w:cs="Calibri"/>
                <w:sz w:val="20"/>
                <w:szCs w:val="20"/>
              </w:rPr>
            </w:pPr>
            <w:r w:rsidRPr="00683492">
              <w:rPr>
                <w:rFonts w:ascii="Calibri" w:hAnsi="Calibri" w:cs="Calibri"/>
                <w:sz w:val="20"/>
                <w:szCs w:val="20"/>
              </w:rPr>
              <w:t>12.73</w:t>
            </w:r>
          </w:p>
        </w:tc>
        <w:tc>
          <w:tcPr>
            <w:tcW w:w="1389" w:type="dxa"/>
            <w:vAlign w:val="bottom"/>
          </w:tcPr>
          <w:p w14:paraId="1E215D8B" w14:textId="77777777" w:rsidR="00825666" w:rsidRPr="00683492" w:rsidRDefault="00825666" w:rsidP="00F60E7C">
            <w:pPr>
              <w:contextualSpacing/>
              <w:jc w:val="center"/>
              <w:rPr>
                <w:rFonts w:ascii="Calibri" w:eastAsia="Times New Roman" w:hAnsi="Calibri" w:cs="Calibri"/>
                <w:sz w:val="20"/>
                <w:szCs w:val="20"/>
              </w:rPr>
            </w:pPr>
            <w:r w:rsidRPr="00683492">
              <w:rPr>
                <w:rFonts w:ascii="Calibri" w:hAnsi="Calibri" w:cs="Calibri"/>
                <w:sz w:val="20"/>
                <w:szCs w:val="20"/>
              </w:rPr>
              <w:t>10.22</w:t>
            </w:r>
          </w:p>
        </w:tc>
        <w:tc>
          <w:tcPr>
            <w:tcW w:w="1390" w:type="dxa"/>
            <w:vAlign w:val="bottom"/>
          </w:tcPr>
          <w:p w14:paraId="010E5E50" w14:textId="77777777" w:rsidR="00825666" w:rsidRPr="00683492" w:rsidRDefault="00825666" w:rsidP="00F60E7C">
            <w:pPr>
              <w:contextualSpacing/>
              <w:jc w:val="center"/>
              <w:rPr>
                <w:rFonts w:ascii="Calibri" w:eastAsia="Times New Roman" w:hAnsi="Calibri" w:cs="Calibri"/>
                <w:sz w:val="20"/>
                <w:szCs w:val="20"/>
              </w:rPr>
            </w:pPr>
            <w:r w:rsidRPr="00683492">
              <w:rPr>
                <w:rFonts w:ascii="Calibri" w:eastAsia="Times New Roman" w:hAnsi="Calibri" w:cs="Calibri"/>
                <w:sz w:val="20"/>
                <w:szCs w:val="20"/>
              </w:rPr>
              <w:t>19.95</w:t>
            </w:r>
          </w:p>
        </w:tc>
        <w:tc>
          <w:tcPr>
            <w:tcW w:w="1390" w:type="dxa"/>
            <w:vAlign w:val="bottom"/>
          </w:tcPr>
          <w:p w14:paraId="1F44DB1C" w14:textId="77777777" w:rsidR="00825666" w:rsidRPr="00683492" w:rsidRDefault="00825666" w:rsidP="00F60E7C">
            <w:pPr>
              <w:contextualSpacing/>
              <w:jc w:val="center"/>
              <w:rPr>
                <w:rFonts w:ascii="Calibri" w:eastAsia="Times New Roman" w:hAnsi="Calibri" w:cs="Calibri"/>
                <w:sz w:val="20"/>
                <w:szCs w:val="20"/>
              </w:rPr>
            </w:pPr>
            <w:r w:rsidRPr="00683492">
              <w:rPr>
                <w:rFonts w:ascii="Calibri" w:eastAsia="Times New Roman" w:hAnsi="Calibri" w:cs="Calibri"/>
                <w:sz w:val="20"/>
                <w:szCs w:val="20"/>
              </w:rPr>
              <w:t>2.82</w:t>
            </w:r>
          </w:p>
        </w:tc>
      </w:tr>
      <w:tr w:rsidR="00825666" w:rsidRPr="00F11CDC" w14:paraId="17B88647" w14:textId="77777777" w:rsidTr="00033521">
        <w:tc>
          <w:tcPr>
            <w:tcW w:w="2628" w:type="dxa"/>
            <w:vAlign w:val="bottom"/>
          </w:tcPr>
          <w:p w14:paraId="3F02280F" w14:textId="77777777" w:rsidR="00825666" w:rsidRPr="00F11CDC" w:rsidRDefault="00825666" w:rsidP="00F60E7C">
            <w:pPr>
              <w:contextualSpacing/>
              <w:jc w:val="center"/>
              <w:rPr>
                <w:rFonts w:ascii="Calibri" w:eastAsia="Times New Roman" w:hAnsi="Calibri" w:cs="Calibri"/>
                <w:color w:val="000000"/>
                <w:sz w:val="20"/>
                <w:szCs w:val="20"/>
              </w:rPr>
            </w:pPr>
            <w:r w:rsidRPr="00F11CDC">
              <w:rPr>
                <w:rFonts w:ascii="Calibri" w:eastAsia="Times New Roman" w:hAnsi="Calibri" w:cs="Calibri"/>
                <w:color w:val="000000"/>
                <w:sz w:val="20"/>
                <w:szCs w:val="20"/>
              </w:rPr>
              <w:t>3.50</w:t>
            </w:r>
          </w:p>
        </w:tc>
        <w:tc>
          <w:tcPr>
            <w:tcW w:w="1389" w:type="dxa"/>
            <w:vAlign w:val="bottom"/>
          </w:tcPr>
          <w:p w14:paraId="50C794D0" w14:textId="77777777" w:rsidR="00825666" w:rsidRPr="00683492" w:rsidRDefault="00825666" w:rsidP="00F60E7C">
            <w:pPr>
              <w:contextualSpacing/>
              <w:jc w:val="center"/>
              <w:rPr>
                <w:rFonts w:ascii="Calibri" w:eastAsia="Times New Roman" w:hAnsi="Calibri" w:cs="Calibri"/>
                <w:sz w:val="20"/>
                <w:szCs w:val="20"/>
              </w:rPr>
            </w:pPr>
            <w:r w:rsidRPr="00683492">
              <w:rPr>
                <w:rFonts w:ascii="Calibri" w:eastAsia="Times New Roman" w:hAnsi="Calibri" w:cs="Calibri"/>
                <w:sz w:val="20"/>
                <w:szCs w:val="20"/>
              </w:rPr>
              <w:t>9.41</w:t>
            </w:r>
          </w:p>
        </w:tc>
        <w:tc>
          <w:tcPr>
            <w:tcW w:w="1390" w:type="dxa"/>
            <w:vAlign w:val="bottom"/>
          </w:tcPr>
          <w:p w14:paraId="13A4CB21" w14:textId="77777777" w:rsidR="00825666" w:rsidRPr="00683492" w:rsidRDefault="00825666" w:rsidP="00F60E7C">
            <w:pPr>
              <w:contextualSpacing/>
              <w:jc w:val="center"/>
              <w:rPr>
                <w:rFonts w:ascii="Calibri" w:eastAsia="Times New Roman" w:hAnsi="Calibri" w:cs="Calibri"/>
                <w:sz w:val="20"/>
                <w:szCs w:val="20"/>
              </w:rPr>
            </w:pPr>
            <w:r w:rsidRPr="00683492">
              <w:rPr>
                <w:rFonts w:ascii="Calibri" w:hAnsi="Calibri" w:cs="Calibri"/>
                <w:sz w:val="20"/>
                <w:szCs w:val="20"/>
              </w:rPr>
              <w:t>11.17</w:t>
            </w:r>
          </w:p>
        </w:tc>
        <w:tc>
          <w:tcPr>
            <w:tcW w:w="1389" w:type="dxa"/>
            <w:vAlign w:val="bottom"/>
          </w:tcPr>
          <w:p w14:paraId="3411631E" w14:textId="77777777" w:rsidR="00825666" w:rsidRPr="00683492" w:rsidRDefault="00825666" w:rsidP="00F60E7C">
            <w:pPr>
              <w:contextualSpacing/>
              <w:jc w:val="center"/>
              <w:rPr>
                <w:rFonts w:ascii="Calibri" w:eastAsia="Times New Roman" w:hAnsi="Calibri" w:cs="Calibri"/>
                <w:sz w:val="20"/>
                <w:szCs w:val="20"/>
              </w:rPr>
            </w:pPr>
            <w:r w:rsidRPr="00683492">
              <w:rPr>
                <w:rFonts w:ascii="Calibri" w:hAnsi="Calibri" w:cs="Calibri"/>
                <w:sz w:val="20"/>
                <w:szCs w:val="20"/>
              </w:rPr>
              <w:t>8.36</w:t>
            </w:r>
          </w:p>
        </w:tc>
        <w:tc>
          <w:tcPr>
            <w:tcW w:w="1390" w:type="dxa"/>
            <w:vAlign w:val="bottom"/>
          </w:tcPr>
          <w:p w14:paraId="1A143D3C" w14:textId="77777777" w:rsidR="00825666" w:rsidRPr="00683492" w:rsidRDefault="00825666" w:rsidP="00F60E7C">
            <w:pPr>
              <w:contextualSpacing/>
              <w:jc w:val="center"/>
              <w:rPr>
                <w:rFonts w:ascii="Calibri" w:eastAsia="Times New Roman" w:hAnsi="Calibri" w:cs="Calibri"/>
                <w:sz w:val="20"/>
                <w:szCs w:val="20"/>
              </w:rPr>
            </w:pPr>
            <w:r w:rsidRPr="00683492">
              <w:rPr>
                <w:rFonts w:ascii="Calibri" w:eastAsia="Times New Roman" w:hAnsi="Calibri" w:cs="Calibri"/>
                <w:sz w:val="20"/>
                <w:szCs w:val="20"/>
              </w:rPr>
              <w:t>18.21</w:t>
            </w:r>
          </w:p>
        </w:tc>
        <w:tc>
          <w:tcPr>
            <w:tcW w:w="1390" w:type="dxa"/>
            <w:vAlign w:val="bottom"/>
          </w:tcPr>
          <w:p w14:paraId="157DD747" w14:textId="77777777" w:rsidR="00825666" w:rsidRPr="00683492" w:rsidRDefault="00825666" w:rsidP="00F60E7C">
            <w:pPr>
              <w:contextualSpacing/>
              <w:jc w:val="center"/>
              <w:rPr>
                <w:rFonts w:ascii="Calibri" w:eastAsia="Times New Roman" w:hAnsi="Calibri" w:cs="Calibri"/>
                <w:sz w:val="20"/>
                <w:szCs w:val="20"/>
              </w:rPr>
            </w:pPr>
            <w:r w:rsidRPr="00683492">
              <w:rPr>
                <w:rFonts w:ascii="Calibri" w:eastAsia="Times New Roman" w:hAnsi="Calibri" w:cs="Calibri"/>
                <w:sz w:val="20"/>
                <w:szCs w:val="20"/>
              </w:rPr>
              <w:t>1.07</w:t>
            </w:r>
          </w:p>
        </w:tc>
      </w:tr>
      <w:tr w:rsidR="00825666" w:rsidRPr="00F11CDC" w14:paraId="302E3E13" w14:textId="77777777" w:rsidTr="00033521">
        <w:tc>
          <w:tcPr>
            <w:tcW w:w="2628" w:type="dxa"/>
            <w:vAlign w:val="bottom"/>
          </w:tcPr>
          <w:p w14:paraId="1D041036" w14:textId="77777777" w:rsidR="00825666" w:rsidRPr="00F11CDC" w:rsidRDefault="00825666" w:rsidP="00F60E7C">
            <w:pPr>
              <w:contextualSpacing/>
              <w:jc w:val="center"/>
              <w:rPr>
                <w:rFonts w:ascii="Calibri" w:eastAsia="Times New Roman" w:hAnsi="Calibri" w:cs="Calibri"/>
                <w:color w:val="000000"/>
                <w:sz w:val="20"/>
                <w:szCs w:val="20"/>
              </w:rPr>
            </w:pPr>
            <w:r w:rsidRPr="00F11CDC">
              <w:rPr>
                <w:rFonts w:ascii="Calibri" w:eastAsia="Times New Roman" w:hAnsi="Calibri" w:cs="Calibri"/>
                <w:color w:val="000000"/>
                <w:sz w:val="20"/>
                <w:szCs w:val="20"/>
              </w:rPr>
              <w:t>3.00</w:t>
            </w:r>
          </w:p>
        </w:tc>
        <w:tc>
          <w:tcPr>
            <w:tcW w:w="1389" w:type="dxa"/>
            <w:vAlign w:val="bottom"/>
          </w:tcPr>
          <w:p w14:paraId="3FEEA6DB" w14:textId="77777777" w:rsidR="00825666" w:rsidRPr="00683492" w:rsidRDefault="00825666" w:rsidP="00F60E7C">
            <w:pPr>
              <w:contextualSpacing/>
              <w:jc w:val="center"/>
              <w:rPr>
                <w:rFonts w:ascii="Calibri" w:eastAsia="Times New Roman" w:hAnsi="Calibri" w:cs="Calibri"/>
                <w:sz w:val="20"/>
                <w:szCs w:val="20"/>
              </w:rPr>
            </w:pPr>
            <w:r w:rsidRPr="00683492">
              <w:rPr>
                <w:rFonts w:ascii="Calibri" w:eastAsia="Times New Roman" w:hAnsi="Calibri" w:cs="Calibri"/>
                <w:sz w:val="20"/>
                <w:szCs w:val="20"/>
              </w:rPr>
              <w:t>7.83</w:t>
            </w:r>
          </w:p>
        </w:tc>
        <w:tc>
          <w:tcPr>
            <w:tcW w:w="1390" w:type="dxa"/>
            <w:vAlign w:val="bottom"/>
          </w:tcPr>
          <w:p w14:paraId="41840516" w14:textId="77777777" w:rsidR="00825666" w:rsidRPr="00683492" w:rsidRDefault="00825666" w:rsidP="00F60E7C">
            <w:pPr>
              <w:contextualSpacing/>
              <w:jc w:val="center"/>
              <w:rPr>
                <w:rFonts w:ascii="Calibri" w:eastAsia="Times New Roman" w:hAnsi="Calibri" w:cs="Calibri"/>
                <w:sz w:val="20"/>
                <w:szCs w:val="20"/>
              </w:rPr>
            </w:pPr>
            <w:r w:rsidRPr="00683492">
              <w:rPr>
                <w:rFonts w:ascii="Calibri" w:hAnsi="Calibri" w:cs="Calibri"/>
                <w:sz w:val="20"/>
                <w:szCs w:val="20"/>
              </w:rPr>
              <w:t>9.72</w:t>
            </w:r>
          </w:p>
        </w:tc>
        <w:tc>
          <w:tcPr>
            <w:tcW w:w="1389" w:type="dxa"/>
            <w:vAlign w:val="bottom"/>
          </w:tcPr>
          <w:p w14:paraId="00C3FB8E" w14:textId="77777777" w:rsidR="00825666" w:rsidRPr="00683492" w:rsidRDefault="00825666" w:rsidP="00F60E7C">
            <w:pPr>
              <w:contextualSpacing/>
              <w:jc w:val="center"/>
              <w:rPr>
                <w:rFonts w:ascii="Calibri" w:eastAsia="Times New Roman" w:hAnsi="Calibri" w:cs="Calibri"/>
                <w:sz w:val="20"/>
                <w:szCs w:val="20"/>
              </w:rPr>
            </w:pPr>
            <w:r w:rsidRPr="00683492">
              <w:rPr>
                <w:rFonts w:ascii="Calibri" w:hAnsi="Calibri" w:cs="Calibri"/>
                <w:sz w:val="20"/>
                <w:szCs w:val="20"/>
              </w:rPr>
              <w:t>6.71</w:t>
            </w:r>
          </w:p>
        </w:tc>
        <w:tc>
          <w:tcPr>
            <w:tcW w:w="1390" w:type="dxa"/>
            <w:vAlign w:val="bottom"/>
          </w:tcPr>
          <w:p w14:paraId="799632E6" w14:textId="77777777" w:rsidR="00825666" w:rsidRPr="00683492" w:rsidRDefault="00825666" w:rsidP="00F60E7C">
            <w:pPr>
              <w:contextualSpacing/>
              <w:jc w:val="center"/>
              <w:rPr>
                <w:rFonts w:ascii="Calibri" w:eastAsia="Times New Roman" w:hAnsi="Calibri" w:cs="Calibri"/>
                <w:sz w:val="20"/>
                <w:szCs w:val="20"/>
              </w:rPr>
            </w:pPr>
            <w:r w:rsidRPr="00683492">
              <w:rPr>
                <w:rFonts w:ascii="Calibri" w:eastAsia="Times New Roman" w:hAnsi="Calibri" w:cs="Calibri"/>
                <w:sz w:val="20"/>
                <w:szCs w:val="20"/>
              </w:rPr>
              <w:t>16.63</w:t>
            </w:r>
          </w:p>
        </w:tc>
        <w:tc>
          <w:tcPr>
            <w:tcW w:w="1390" w:type="dxa"/>
            <w:vAlign w:val="bottom"/>
          </w:tcPr>
          <w:p w14:paraId="122BAA3A" w14:textId="77777777" w:rsidR="00825666" w:rsidRPr="00683492" w:rsidRDefault="00825666" w:rsidP="00F60E7C">
            <w:pPr>
              <w:contextualSpacing/>
              <w:jc w:val="center"/>
              <w:rPr>
                <w:rFonts w:ascii="Calibri" w:eastAsia="Times New Roman" w:hAnsi="Calibri" w:cs="Calibri"/>
                <w:sz w:val="20"/>
                <w:szCs w:val="20"/>
              </w:rPr>
            </w:pPr>
            <w:r w:rsidRPr="00683492">
              <w:rPr>
                <w:rFonts w:ascii="Calibri" w:eastAsia="Times New Roman" w:hAnsi="Calibri" w:cs="Calibri"/>
                <w:sz w:val="20"/>
                <w:szCs w:val="20"/>
              </w:rPr>
              <w:t>-0.51</w:t>
            </w:r>
          </w:p>
        </w:tc>
      </w:tr>
      <w:tr w:rsidR="00825666" w:rsidRPr="00F11CDC" w14:paraId="58C5CC51" w14:textId="77777777" w:rsidTr="00033521">
        <w:tc>
          <w:tcPr>
            <w:tcW w:w="2628" w:type="dxa"/>
            <w:vAlign w:val="bottom"/>
          </w:tcPr>
          <w:p w14:paraId="791031EB" w14:textId="1E227D28" w:rsidR="00825666" w:rsidRPr="00F11CDC" w:rsidRDefault="00825666" w:rsidP="00F60E7C">
            <w:pPr>
              <w:contextualSpacing/>
              <w:jc w:val="center"/>
              <w:rPr>
                <w:rFonts w:ascii="Calibri" w:eastAsia="Times New Roman" w:hAnsi="Calibri" w:cs="Calibri"/>
                <w:color w:val="000000"/>
                <w:sz w:val="20"/>
                <w:szCs w:val="20"/>
              </w:rPr>
            </w:pPr>
            <w:r w:rsidRPr="00F11CDC">
              <w:rPr>
                <w:rFonts w:ascii="Calibri" w:eastAsia="Times New Roman" w:hAnsi="Calibri" w:cs="Calibri"/>
                <w:color w:val="000000"/>
                <w:sz w:val="20"/>
                <w:szCs w:val="20"/>
              </w:rPr>
              <w:t>Average effect of 1</w:t>
            </w:r>
            <w:r w:rsidR="00AF599B">
              <w:rPr>
                <w:rFonts w:ascii="Calibri" w:eastAsia="Times New Roman" w:hAnsi="Calibri" w:cs="Calibri"/>
                <w:color w:val="000000"/>
                <w:sz w:val="20"/>
                <w:szCs w:val="20"/>
              </w:rPr>
              <w:t>%</w:t>
            </w:r>
            <w:r w:rsidRPr="00F11CDC">
              <w:rPr>
                <w:rFonts w:ascii="Calibri" w:eastAsia="Times New Roman" w:hAnsi="Calibri" w:cs="Calibri"/>
                <w:color w:val="000000"/>
                <w:sz w:val="20"/>
                <w:szCs w:val="20"/>
              </w:rPr>
              <w:t xml:space="preserve"> increase</w:t>
            </w:r>
          </w:p>
        </w:tc>
        <w:tc>
          <w:tcPr>
            <w:tcW w:w="1389" w:type="dxa"/>
            <w:vAlign w:val="bottom"/>
          </w:tcPr>
          <w:p w14:paraId="7D580E76" w14:textId="77777777" w:rsidR="00825666" w:rsidRPr="00683492" w:rsidRDefault="00825666" w:rsidP="00F60E7C">
            <w:pPr>
              <w:contextualSpacing/>
              <w:jc w:val="center"/>
              <w:rPr>
                <w:rFonts w:ascii="Calibri" w:eastAsia="Times New Roman" w:hAnsi="Calibri" w:cs="Calibri"/>
                <w:sz w:val="20"/>
                <w:szCs w:val="20"/>
              </w:rPr>
            </w:pPr>
            <w:r w:rsidRPr="00683492">
              <w:rPr>
                <w:rFonts w:ascii="Calibri" w:eastAsia="Times New Roman" w:hAnsi="Calibri" w:cs="Calibri"/>
                <w:sz w:val="20"/>
                <w:szCs w:val="20"/>
              </w:rPr>
              <w:t>5.35</w:t>
            </w:r>
          </w:p>
        </w:tc>
        <w:tc>
          <w:tcPr>
            <w:tcW w:w="1390" w:type="dxa"/>
            <w:vAlign w:val="bottom"/>
          </w:tcPr>
          <w:p w14:paraId="362FBC14" w14:textId="77777777" w:rsidR="00825666" w:rsidRPr="00683492" w:rsidRDefault="00825666" w:rsidP="00F60E7C">
            <w:pPr>
              <w:contextualSpacing/>
              <w:jc w:val="center"/>
              <w:rPr>
                <w:rFonts w:ascii="Calibri" w:eastAsia="Times New Roman" w:hAnsi="Calibri" w:cs="Calibri"/>
                <w:sz w:val="20"/>
                <w:szCs w:val="20"/>
              </w:rPr>
            </w:pPr>
            <w:r w:rsidRPr="00683492">
              <w:rPr>
                <w:rFonts w:ascii="Calibri" w:hAnsi="Calibri" w:cs="Calibri"/>
                <w:sz w:val="20"/>
                <w:szCs w:val="20"/>
              </w:rPr>
              <w:t>3.90</w:t>
            </w:r>
          </w:p>
        </w:tc>
        <w:tc>
          <w:tcPr>
            <w:tcW w:w="1389" w:type="dxa"/>
            <w:vAlign w:val="bottom"/>
          </w:tcPr>
          <w:p w14:paraId="604F24CE" w14:textId="77777777" w:rsidR="00825666" w:rsidRPr="00683492" w:rsidRDefault="00825666" w:rsidP="00F60E7C">
            <w:pPr>
              <w:contextualSpacing/>
              <w:jc w:val="center"/>
              <w:rPr>
                <w:rFonts w:ascii="Calibri" w:eastAsia="Times New Roman" w:hAnsi="Calibri" w:cs="Calibri"/>
                <w:sz w:val="20"/>
                <w:szCs w:val="20"/>
              </w:rPr>
            </w:pPr>
            <w:r w:rsidRPr="00683492">
              <w:rPr>
                <w:rFonts w:ascii="Calibri" w:hAnsi="Calibri" w:cs="Calibri"/>
                <w:sz w:val="20"/>
                <w:szCs w:val="20"/>
              </w:rPr>
              <w:t>6.21</w:t>
            </w:r>
          </w:p>
        </w:tc>
        <w:tc>
          <w:tcPr>
            <w:tcW w:w="1390" w:type="dxa"/>
            <w:vAlign w:val="bottom"/>
          </w:tcPr>
          <w:p w14:paraId="5743CEFF" w14:textId="77777777" w:rsidR="00825666" w:rsidRPr="00683492" w:rsidRDefault="00825666" w:rsidP="00F60E7C">
            <w:pPr>
              <w:contextualSpacing/>
              <w:jc w:val="center"/>
              <w:rPr>
                <w:rFonts w:ascii="Calibri" w:eastAsia="Times New Roman" w:hAnsi="Calibri" w:cs="Calibri"/>
                <w:sz w:val="20"/>
                <w:szCs w:val="20"/>
              </w:rPr>
            </w:pPr>
            <w:r w:rsidRPr="00683492">
              <w:rPr>
                <w:rFonts w:ascii="Calibri" w:eastAsia="Times New Roman" w:hAnsi="Calibri" w:cs="Calibri"/>
                <w:sz w:val="20"/>
                <w:szCs w:val="20"/>
              </w:rPr>
              <w:t>5.35</w:t>
            </w:r>
          </w:p>
        </w:tc>
        <w:tc>
          <w:tcPr>
            <w:tcW w:w="1390" w:type="dxa"/>
            <w:vAlign w:val="bottom"/>
          </w:tcPr>
          <w:p w14:paraId="5F68F682" w14:textId="77777777" w:rsidR="00825666" w:rsidRPr="00683492" w:rsidRDefault="00825666" w:rsidP="00F60E7C">
            <w:pPr>
              <w:contextualSpacing/>
              <w:jc w:val="center"/>
              <w:rPr>
                <w:rFonts w:ascii="Calibri" w:eastAsia="Times New Roman" w:hAnsi="Calibri" w:cs="Calibri"/>
                <w:sz w:val="20"/>
                <w:szCs w:val="20"/>
              </w:rPr>
            </w:pPr>
            <w:r w:rsidRPr="00683492">
              <w:rPr>
                <w:rFonts w:ascii="Calibri" w:eastAsia="Times New Roman" w:hAnsi="Calibri" w:cs="Calibri"/>
                <w:sz w:val="20"/>
                <w:szCs w:val="20"/>
              </w:rPr>
              <w:t>5.35</w:t>
            </w:r>
          </w:p>
        </w:tc>
      </w:tr>
      <w:tr w:rsidR="00825666" w:rsidRPr="00F11CDC" w14:paraId="40679744" w14:textId="77777777" w:rsidTr="00033521">
        <w:tc>
          <w:tcPr>
            <w:tcW w:w="9576" w:type="dxa"/>
            <w:gridSpan w:val="6"/>
            <w:vAlign w:val="bottom"/>
          </w:tcPr>
          <w:p w14:paraId="373C1944" w14:textId="77777777" w:rsidR="00825666" w:rsidRPr="00F11CDC" w:rsidRDefault="00825666" w:rsidP="00F60E7C">
            <w:pPr>
              <w:contextualSpacing/>
              <w:rPr>
                <w:rFonts w:ascii="Calibri" w:eastAsia="Times New Roman" w:hAnsi="Calibri" w:cs="Calibri"/>
                <w:b/>
                <w:color w:val="000000"/>
                <w:sz w:val="20"/>
                <w:szCs w:val="20"/>
              </w:rPr>
            </w:pPr>
          </w:p>
          <w:p w14:paraId="17A21761" w14:textId="77777777" w:rsidR="00825666" w:rsidRPr="00F11CDC" w:rsidRDefault="00825666" w:rsidP="00F60E7C">
            <w:pPr>
              <w:contextualSpacing/>
              <w:rPr>
                <w:rFonts w:ascii="Calibri" w:eastAsia="Times New Roman" w:hAnsi="Calibri" w:cs="Calibri"/>
                <w:b/>
                <w:sz w:val="20"/>
                <w:szCs w:val="20"/>
              </w:rPr>
            </w:pPr>
            <w:r w:rsidRPr="00F11CDC">
              <w:rPr>
                <w:rFonts w:ascii="Calibri" w:eastAsia="Times New Roman" w:hAnsi="Calibri" w:cs="Calibri"/>
                <w:b/>
                <w:color w:val="000000"/>
                <w:sz w:val="20"/>
                <w:szCs w:val="20"/>
              </w:rPr>
              <w:t>Panel C: Cost Method (EAN is the most commonly observed type)</w:t>
            </w:r>
          </w:p>
        </w:tc>
      </w:tr>
      <w:tr w:rsidR="00825666" w:rsidRPr="00F11CDC" w14:paraId="02630AF5" w14:textId="77777777" w:rsidTr="00033521">
        <w:tc>
          <w:tcPr>
            <w:tcW w:w="2628" w:type="dxa"/>
            <w:vAlign w:val="bottom"/>
          </w:tcPr>
          <w:p w14:paraId="6122D9ED" w14:textId="77777777" w:rsidR="00825666" w:rsidRPr="00F11CDC" w:rsidRDefault="00825666" w:rsidP="00F60E7C">
            <w:pPr>
              <w:contextualSpacing/>
              <w:jc w:val="center"/>
              <w:rPr>
                <w:rFonts w:ascii="Calibri" w:eastAsia="Times New Roman" w:hAnsi="Calibri" w:cs="Calibri"/>
                <w:color w:val="000000"/>
                <w:sz w:val="20"/>
                <w:szCs w:val="20"/>
              </w:rPr>
            </w:pPr>
            <w:r w:rsidRPr="00F11CDC">
              <w:rPr>
                <w:rFonts w:ascii="Calibri" w:eastAsia="Times New Roman" w:hAnsi="Calibri" w:cs="Calibri"/>
                <w:color w:val="000000"/>
                <w:sz w:val="20"/>
                <w:szCs w:val="20"/>
              </w:rPr>
              <w:t>EAN</w:t>
            </w:r>
          </w:p>
        </w:tc>
        <w:tc>
          <w:tcPr>
            <w:tcW w:w="1389" w:type="dxa"/>
            <w:shd w:val="clear" w:color="auto" w:fill="D9D9D9" w:themeFill="background1" w:themeFillShade="D9"/>
            <w:vAlign w:val="bottom"/>
          </w:tcPr>
          <w:p w14:paraId="110F4B37" w14:textId="77777777" w:rsidR="00825666" w:rsidRPr="00671132" w:rsidRDefault="00825666" w:rsidP="00F60E7C">
            <w:pPr>
              <w:contextualSpacing/>
              <w:jc w:val="center"/>
              <w:rPr>
                <w:rFonts w:ascii="Calibri" w:eastAsia="Times New Roman" w:hAnsi="Calibri" w:cs="Calibri"/>
                <w:sz w:val="20"/>
                <w:szCs w:val="20"/>
              </w:rPr>
            </w:pPr>
            <w:r w:rsidRPr="00671132">
              <w:rPr>
                <w:rFonts w:ascii="Calibri" w:eastAsia="Times New Roman" w:hAnsi="Calibri" w:cs="Calibri"/>
                <w:sz w:val="20"/>
                <w:szCs w:val="20"/>
              </w:rPr>
              <w:t>18.55</w:t>
            </w:r>
          </w:p>
        </w:tc>
        <w:tc>
          <w:tcPr>
            <w:tcW w:w="1390" w:type="dxa"/>
            <w:vAlign w:val="bottom"/>
          </w:tcPr>
          <w:p w14:paraId="12C548F6" w14:textId="77777777" w:rsidR="00825666" w:rsidRPr="00671132" w:rsidRDefault="00825666" w:rsidP="00F60E7C">
            <w:pPr>
              <w:contextualSpacing/>
              <w:jc w:val="center"/>
              <w:rPr>
                <w:rFonts w:ascii="Calibri" w:eastAsia="Times New Roman" w:hAnsi="Calibri" w:cs="Calibri"/>
                <w:sz w:val="20"/>
                <w:szCs w:val="20"/>
              </w:rPr>
            </w:pPr>
            <w:r w:rsidRPr="00671132">
              <w:rPr>
                <w:rFonts w:ascii="Calibri" w:hAnsi="Calibri" w:cs="Calibri"/>
                <w:sz w:val="20"/>
                <w:szCs w:val="20"/>
              </w:rPr>
              <w:t>18.77</w:t>
            </w:r>
          </w:p>
        </w:tc>
        <w:tc>
          <w:tcPr>
            <w:tcW w:w="1389" w:type="dxa"/>
            <w:vAlign w:val="bottom"/>
          </w:tcPr>
          <w:p w14:paraId="358CBFE3" w14:textId="77777777" w:rsidR="00825666" w:rsidRPr="00671132" w:rsidRDefault="00825666" w:rsidP="00F60E7C">
            <w:pPr>
              <w:contextualSpacing/>
              <w:jc w:val="center"/>
              <w:rPr>
                <w:rFonts w:ascii="Calibri" w:eastAsia="Times New Roman" w:hAnsi="Calibri" w:cs="Calibri"/>
                <w:sz w:val="20"/>
                <w:szCs w:val="20"/>
              </w:rPr>
            </w:pPr>
            <w:r w:rsidRPr="00671132">
              <w:rPr>
                <w:rFonts w:ascii="Calibri" w:hAnsi="Calibri" w:cs="Calibri"/>
                <w:sz w:val="20"/>
                <w:szCs w:val="20"/>
              </w:rPr>
              <w:t>18.43</w:t>
            </w:r>
          </w:p>
        </w:tc>
        <w:tc>
          <w:tcPr>
            <w:tcW w:w="1390" w:type="dxa"/>
            <w:vAlign w:val="bottom"/>
          </w:tcPr>
          <w:p w14:paraId="73AA3BFB" w14:textId="77777777" w:rsidR="00825666" w:rsidRPr="00671132" w:rsidRDefault="00825666" w:rsidP="00F60E7C">
            <w:pPr>
              <w:contextualSpacing/>
              <w:jc w:val="center"/>
              <w:rPr>
                <w:rFonts w:ascii="Calibri" w:eastAsia="Times New Roman" w:hAnsi="Calibri" w:cs="Calibri"/>
                <w:sz w:val="20"/>
                <w:szCs w:val="20"/>
              </w:rPr>
            </w:pPr>
            <w:r w:rsidRPr="00671132">
              <w:rPr>
                <w:rFonts w:ascii="Calibri" w:eastAsia="Times New Roman" w:hAnsi="Calibri" w:cs="Calibri"/>
                <w:sz w:val="20"/>
                <w:szCs w:val="20"/>
              </w:rPr>
              <w:t>27.35</w:t>
            </w:r>
          </w:p>
        </w:tc>
        <w:tc>
          <w:tcPr>
            <w:tcW w:w="1390" w:type="dxa"/>
            <w:vAlign w:val="bottom"/>
          </w:tcPr>
          <w:p w14:paraId="64CC0830" w14:textId="77777777" w:rsidR="00825666" w:rsidRPr="00671132" w:rsidRDefault="00825666" w:rsidP="00F60E7C">
            <w:pPr>
              <w:contextualSpacing/>
              <w:jc w:val="center"/>
              <w:rPr>
                <w:rFonts w:ascii="Calibri" w:eastAsia="Times New Roman" w:hAnsi="Calibri" w:cs="Calibri"/>
                <w:sz w:val="20"/>
                <w:szCs w:val="20"/>
              </w:rPr>
            </w:pPr>
            <w:r w:rsidRPr="00671132">
              <w:rPr>
                <w:rFonts w:ascii="Calibri" w:eastAsia="Times New Roman" w:hAnsi="Calibri" w:cs="Calibri"/>
                <w:sz w:val="20"/>
                <w:szCs w:val="20"/>
              </w:rPr>
              <w:t>10.21</w:t>
            </w:r>
          </w:p>
        </w:tc>
      </w:tr>
      <w:tr w:rsidR="00825666" w:rsidRPr="00F11CDC" w14:paraId="31DCC537" w14:textId="77777777" w:rsidTr="00033521">
        <w:tc>
          <w:tcPr>
            <w:tcW w:w="2628" w:type="dxa"/>
            <w:tcBorders>
              <w:bottom w:val="single" w:sz="4" w:space="0" w:color="auto"/>
            </w:tcBorders>
            <w:vAlign w:val="bottom"/>
          </w:tcPr>
          <w:p w14:paraId="2CA81399" w14:textId="77777777" w:rsidR="00825666" w:rsidRPr="00F11CDC" w:rsidRDefault="00825666" w:rsidP="00F60E7C">
            <w:pPr>
              <w:contextualSpacing/>
              <w:jc w:val="center"/>
              <w:rPr>
                <w:rFonts w:ascii="Calibri" w:eastAsia="Times New Roman" w:hAnsi="Calibri" w:cs="Calibri"/>
                <w:color w:val="000000"/>
                <w:sz w:val="20"/>
                <w:szCs w:val="20"/>
              </w:rPr>
            </w:pPr>
            <w:r w:rsidRPr="00F11CDC">
              <w:rPr>
                <w:rFonts w:ascii="Calibri" w:eastAsia="Times New Roman" w:hAnsi="Calibri" w:cs="Calibri"/>
                <w:color w:val="000000"/>
                <w:sz w:val="20"/>
                <w:szCs w:val="20"/>
              </w:rPr>
              <w:t>PUC</w:t>
            </w:r>
          </w:p>
        </w:tc>
        <w:tc>
          <w:tcPr>
            <w:tcW w:w="1389" w:type="dxa"/>
            <w:tcBorders>
              <w:bottom w:val="single" w:sz="4" w:space="0" w:color="auto"/>
            </w:tcBorders>
            <w:vAlign w:val="bottom"/>
          </w:tcPr>
          <w:p w14:paraId="4704B012" w14:textId="77777777" w:rsidR="00825666" w:rsidRPr="00683492" w:rsidRDefault="00825666" w:rsidP="00F60E7C">
            <w:pPr>
              <w:contextualSpacing/>
              <w:jc w:val="center"/>
              <w:rPr>
                <w:rFonts w:ascii="Calibri" w:eastAsia="Times New Roman" w:hAnsi="Calibri" w:cs="Calibri"/>
                <w:sz w:val="20"/>
                <w:szCs w:val="20"/>
              </w:rPr>
            </w:pPr>
            <w:r w:rsidRPr="00683492">
              <w:rPr>
                <w:rFonts w:ascii="Calibri" w:eastAsia="Times New Roman" w:hAnsi="Calibri" w:cs="Calibri"/>
                <w:sz w:val="20"/>
                <w:szCs w:val="20"/>
              </w:rPr>
              <w:t>18.87</w:t>
            </w:r>
          </w:p>
        </w:tc>
        <w:tc>
          <w:tcPr>
            <w:tcW w:w="1390" w:type="dxa"/>
            <w:tcBorders>
              <w:bottom w:val="single" w:sz="4" w:space="0" w:color="auto"/>
            </w:tcBorders>
            <w:vAlign w:val="bottom"/>
          </w:tcPr>
          <w:p w14:paraId="19E38B11" w14:textId="77777777" w:rsidR="00825666" w:rsidRPr="00683492" w:rsidRDefault="00825666" w:rsidP="00F60E7C">
            <w:pPr>
              <w:contextualSpacing/>
              <w:jc w:val="center"/>
              <w:rPr>
                <w:rFonts w:ascii="Calibri" w:eastAsia="Times New Roman" w:hAnsi="Calibri" w:cs="Calibri"/>
                <w:sz w:val="20"/>
                <w:szCs w:val="20"/>
              </w:rPr>
            </w:pPr>
            <w:r w:rsidRPr="00683492">
              <w:rPr>
                <w:rFonts w:ascii="Calibri" w:hAnsi="Calibri" w:cs="Calibri"/>
                <w:sz w:val="20"/>
                <w:szCs w:val="20"/>
              </w:rPr>
              <w:t>17.31</w:t>
            </w:r>
          </w:p>
        </w:tc>
        <w:tc>
          <w:tcPr>
            <w:tcW w:w="1389" w:type="dxa"/>
            <w:tcBorders>
              <w:bottom w:val="single" w:sz="4" w:space="0" w:color="auto"/>
            </w:tcBorders>
            <w:vAlign w:val="bottom"/>
          </w:tcPr>
          <w:p w14:paraId="495ACD90" w14:textId="77777777" w:rsidR="00825666" w:rsidRPr="00683492" w:rsidRDefault="00825666" w:rsidP="00F60E7C">
            <w:pPr>
              <w:contextualSpacing/>
              <w:jc w:val="center"/>
              <w:rPr>
                <w:rFonts w:ascii="Calibri" w:eastAsia="Times New Roman" w:hAnsi="Calibri" w:cs="Calibri"/>
                <w:sz w:val="20"/>
                <w:szCs w:val="20"/>
              </w:rPr>
            </w:pPr>
            <w:r w:rsidRPr="00683492">
              <w:rPr>
                <w:rFonts w:ascii="Calibri" w:hAnsi="Calibri" w:cs="Calibri"/>
                <w:sz w:val="20"/>
                <w:szCs w:val="20"/>
              </w:rPr>
              <w:t>19.80</w:t>
            </w:r>
          </w:p>
        </w:tc>
        <w:tc>
          <w:tcPr>
            <w:tcW w:w="1390" w:type="dxa"/>
            <w:tcBorders>
              <w:bottom w:val="single" w:sz="4" w:space="0" w:color="auto"/>
            </w:tcBorders>
            <w:vAlign w:val="bottom"/>
          </w:tcPr>
          <w:p w14:paraId="3B8CE49B" w14:textId="77777777" w:rsidR="00825666" w:rsidRPr="00683492" w:rsidRDefault="00825666" w:rsidP="00F60E7C">
            <w:pPr>
              <w:contextualSpacing/>
              <w:jc w:val="center"/>
              <w:rPr>
                <w:rFonts w:ascii="Calibri" w:eastAsia="Times New Roman" w:hAnsi="Calibri" w:cs="Calibri"/>
                <w:sz w:val="20"/>
                <w:szCs w:val="20"/>
              </w:rPr>
            </w:pPr>
            <w:r w:rsidRPr="00683492">
              <w:rPr>
                <w:rFonts w:ascii="Calibri" w:eastAsia="Times New Roman" w:hAnsi="Calibri" w:cs="Calibri"/>
                <w:sz w:val="20"/>
                <w:szCs w:val="20"/>
              </w:rPr>
              <w:t>27.66</w:t>
            </w:r>
          </w:p>
        </w:tc>
        <w:tc>
          <w:tcPr>
            <w:tcW w:w="1390" w:type="dxa"/>
            <w:tcBorders>
              <w:bottom w:val="single" w:sz="4" w:space="0" w:color="auto"/>
            </w:tcBorders>
            <w:vAlign w:val="bottom"/>
          </w:tcPr>
          <w:p w14:paraId="272AD93D" w14:textId="77777777" w:rsidR="00825666" w:rsidRPr="00683492" w:rsidRDefault="00825666" w:rsidP="00F60E7C">
            <w:pPr>
              <w:contextualSpacing/>
              <w:jc w:val="center"/>
              <w:rPr>
                <w:rFonts w:ascii="Calibri" w:eastAsia="Times New Roman" w:hAnsi="Calibri" w:cs="Calibri"/>
                <w:sz w:val="20"/>
                <w:szCs w:val="20"/>
              </w:rPr>
            </w:pPr>
            <w:r w:rsidRPr="00683492">
              <w:rPr>
                <w:rFonts w:ascii="Calibri" w:eastAsia="Times New Roman" w:hAnsi="Calibri" w:cs="Calibri"/>
                <w:sz w:val="20"/>
                <w:szCs w:val="20"/>
              </w:rPr>
              <w:t>10.53</w:t>
            </w:r>
          </w:p>
        </w:tc>
      </w:tr>
      <w:tr w:rsidR="00825666" w:rsidRPr="00F11CDC" w14:paraId="5E7BB55D" w14:textId="77777777" w:rsidTr="00033521">
        <w:tc>
          <w:tcPr>
            <w:tcW w:w="9576" w:type="dxa"/>
            <w:gridSpan w:val="6"/>
            <w:vAlign w:val="bottom"/>
          </w:tcPr>
          <w:p w14:paraId="7D869077" w14:textId="77777777" w:rsidR="00825666" w:rsidRPr="00F11CDC" w:rsidRDefault="00825666" w:rsidP="00F60E7C">
            <w:pPr>
              <w:contextualSpacing/>
              <w:rPr>
                <w:rFonts w:ascii="Calibri" w:eastAsia="Times New Roman" w:hAnsi="Calibri" w:cs="Calibri"/>
                <w:b/>
                <w:color w:val="000000"/>
                <w:sz w:val="20"/>
                <w:szCs w:val="20"/>
              </w:rPr>
            </w:pPr>
          </w:p>
          <w:p w14:paraId="2E611BFE" w14:textId="77777777" w:rsidR="00825666" w:rsidRPr="00F11CDC" w:rsidRDefault="00825666" w:rsidP="00F60E7C">
            <w:pPr>
              <w:contextualSpacing/>
              <w:rPr>
                <w:rFonts w:ascii="Calibri" w:eastAsia="Times New Roman" w:hAnsi="Calibri" w:cs="Calibri"/>
                <w:b/>
                <w:sz w:val="20"/>
                <w:szCs w:val="20"/>
              </w:rPr>
            </w:pPr>
            <w:r w:rsidRPr="00F11CDC">
              <w:rPr>
                <w:rFonts w:ascii="Calibri" w:eastAsia="Times New Roman" w:hAnsi="Calibri" w:cs="Calibri"/>
                <w:b/>
                <w:color w:val="000000"/>
                <w:sz w:val="20"/>
                <w:szCs w:val="20"/>
              </w:rPr>
              <w:t>Panel D: Mortality Tables</w:t>
            </w:r>
            <w:r>
              <w:rPr>
                <w:rFonts w:ascii="Calibri" w:eastAsia="Times New Roman" w:hAnsi="Calibri" w:cs="Calibri"/>
                <w:b/>
                <w:color w:val="000000"/>
                <w:sz w:val="20"/>
                <w:szCs w:val="20"/>
              </w:rPr>
              <w:t xml:space="preserve"> (RP-2000 with projection is the most commonly observed type)</w:t>
            </w:r>
          </w:p>
        </w:tc>
      </w:tr>
      <w:tr w:rsidR="00825666" w:rsidRPr="00F11CDC" w14:paraId="71DF07E2" w14:textId="77777777" w:rsidTr="00033521">
        <w:tc>
          <w:tcPr>
            <w:tcW w:w="2628" w:type="dxa"/>
            <w:vAlign w:val="bottom"/>
          </w:tcPr>
          <w:p w14:paraId="4AE9A5AC" w14:textId="77777777" w:rsidR="00825666" w:rsidRPr="00F11CDC" w:rsidRDefault="00825666" w:rsidP="00F60E7C">
            <w:pPr>
              <w:contextualSpacing/>
              <w:jc w:val="center"/>
              <w:rPr>
                <w:rFonts w:ascii="Calibri" w:eastAsia="Times New Roman" w:hAnsi="Calibri" w:cs="Calibri"/>
                <w:color w:val="000000"/>
                <w:sz w:val="20"/>
                <w:szCs w:val="20"/>
              </w:rPr>
            </w:pPr>
            <w:r w:rsidRPr="00F11CDC">
              <w:rPr>
                <w:rFonts w:ascii="Calibri" w:eastAsia="Times New Roman" w:hAnsi="Calibri" w:cs="Calibri"/>
                <w:color w:val="000000"/>
                <w:sz w:val="20"/>
                <w:szCs w:val="20"/>
              </w:rPr>
              <w:t>RP-2000</w:t>
            </w:r>
          </w:p>
        </w:tc>
        <w:tc>
          <w:tcPr>
            <w:tcW w:w="1389" w:type="dxa"/>
            <w:vAlign w:val="bottom"/>
          </w:tcPr>
          <w:p w14:paraId="00859F1D" w14:textId="77777777" w:rsidR="00825666" w:rsidRPr="00683492" w:rsidRDefault="00825666" w:rsidP="00F60E7C">
            <w:pPr>
              <w:contextualSpacing/>
              <w:jc w:val="center"/>
              <w:rPr>
                <w:rFonts w:ascii="Calibri" w:eastAsia="Times New Roman" w:hAnsi="Calibri" w:cs="Calibri"/>
                <w:sz w:val="20"/>
                <w:szCs w:val="20"/>
              </w:rPr>
            </w:pPr>
            <w:r w:rsidRPr="00683492">
              <w:rPr>
                <w:rFonts w:ascii="Calibri" w:eastAsia="Times New Roman" w:hAnsi="Calibri" w:cs="Calibri"/>
                <w:sz w:val="20"/>
                <w:szCs w:val="20"/>
              </w:rPr>
              <w:t>16.81</w:t>
            </w:r>
          </w:p>
        </w:tc>
        <w:tc>
          <w:tcPr>
            <w:tcW w:w="1390" w:type="dxa"/>
            <w:vAlign w:val="bottom"/>
          </w:tcPr>
          <w:p w14:paraId="2135D708" w14:textId="77777777" w:rsidR="00825666" w:rsidRPr="00683492" w:rsidRDefault="00825666" w:rsidP="00F60E7C">
            <w:pPr>
              <w:contextualSpacing/>
              <w:jc w:val="center"/>
              <w:rPr>
                <w:rFonts w:ascii="Calibri" w:eastAsia="Times New Roman" w:hAnsi="Calibri" w:cs="Calibri"/>
                <w:sz w:val="20"/>
                <w:szCs w:val="20"/>
              </w:rPr>
            </w:pPr>
            <w:r w:rsidRPr="00683492">
              <w:rPr>
                <w:rFonts w:ascii="Calibri" w:hAnsi="Calibri" w:cs="Calibri"/>
                <w:sz w:val="20"/>
                <w:szCs w:val="20"/>
              </w:rPr>
              <w:t>16.88</w:t>
            </w:r>
          </w:p>
        </w:tc>
        <w:tc>
          <w:tcPr>
            <w:tcW w:w="1389" w:type="dxa"/>
            <w:vAlign w:val="bottom"/>
          </w:tcPr>
          <w:p w14:paraId="298709ED" w14:textId="77777777" w:rsidR="00825666" w:rsidRPr="00683492" w:rsidRDefault="00825666" w:rsidP="00F60E7C">
            <w:pPr>
              <w:contextualSpacing/>
              <w:jc w:val="center"/>
              <w:rPr>
                <w:rFonts w:ascii="Calibri" w:eastAsia="Times New Roman" w:hAnsi="Calibri" w:cs="Calibri"/>
                <w:sz w:val="20"/>
                <w:szCs w:val="20"/>
              </w:rPr>
            </w:pPr>
            <w:r w:rsidRPr="00683492">
              <w:rPr>
                <w:rFonts w:ascii="Calibri" w:hAnsi="Calibri" w:cs="Calibri"/>
                <w:sz w:val="20"/>
                <w:szCs w:val="20"/>
              </w:rPr>
              <w:t>16.76</w:t>
            </w:r>
          </w:p>
        </w:tc>
        <w:tc>
          <w:tcPr>
            <w:tcW w:w="1390" w:type="dxa"/>
            <w:vAlign w:val="bottom"/>
          </w:tcPr>
          <w:p w14:paraId="3C949B08" w14:textId="77777777" w:rsidR="00825666" w:rsidRPr="00683492" w:rsidRDefault="00825666" w:rsidP="00F60E7C">
            <w:pPr>
              <w:contextualSpacing/>
              <w:jc w:val="center"/>
              <w:rPr>
                <w:rFonts w:ascii="Calibri" w:eastAsia="Times New Roman" w:hAnsi="Calibri" w:cs="Calibri"/>
                <w:sz w:val="20"/>
                <w:szCs w:val="20"/>
              </w:rPr>
            </w:pPr>
            <w:r w:rsidRPr="00683492">
              <w:rPr>
                <w:rFonts w:ascii="Calibri" w:eastAsia="Times New Roman" w:hAnsi="Calibri" w:cs="Calibri"/>
                <w:sz w:val="20"/>
                <w:szCs w:val="20"/>
              </w:rPr>
              <w:t>25.60</w:t>
            </w:r>
          </w:p>
        </w:tc>
        <w:tc>
          <w:tcPr>
            <w:tcW w:w="1390" w:type="dxa"/>
            <w:vAlign w:val="bottom"/>
          </w:tcPr>
          <w:p w14:paraId="2C0C6081" w14:textId="77777777" w:rsidR="00825666" w:rsidRPr="00683492" w:rsidRDefault="00825666" w:rsidP="00F60E7C">
            <w:pPr>
              <w:contextualSpacing/>
              <w:jc w:val="center"/>
              <w:rPr>
                <w:rFonts w:ascii="Calibri" w:eastAsia="Times New Roman" w:hAnsi="Calibri" w:cs="Calibri"/>
                <w:sz w:val="20"/>
                <w:szCs w:val="20"/>
              </w:rPr>
            </w:pPr>
            <w:r w:rsidRPr="00683492">
              <w:rPr>
                <w:rFonts w:ascii="Calibri" w:eastAsia="Times New Roman" w:hAnsi="Calibri" w:cs="Calibri"/>
                <w:sz w:val="20"/>
                <w:szCs w:val="20"/>
              </w:rPr>
              <w:t>8.47</w:t>
            </w:r>
          </w:p>
        </w:tc>
      </w:tr>
      <w:tr w:rsidR="00825666" w:rsidRPr="00F11CDC" w14:paraId="4E99B913" w14:textId="77777777" w:rsidTr="00033521">
        <w:tc>
          <w:tcPr>
            <w:tcW w:w="2628" w:type="dxa"/>
            <w:vAlign w:val="bottom"/>
          </w:tcPr>
          <w:p w14:paraId="143E4CD6" w14:textId="77777777" w:rsidR="00825666" w:rsidRPr="00F11CDC" w:rsidRDefault="00825666" w:rsidP="00F60E7C">
            <w:pPr>
              <w:contextualSpacing/>
              <w:jc w:val="center"/>
              <w:rPr>
                <w:rFonts w:ascii="Calibri" w:eastAsia="Times New Roman" w:hAnsi="Calibri" w:cs="Calibri"/>
                <w:color w:val="000000"/>
                <w:sz w:val="20"/>
                <w:szCs w:val="20"/>
              </w:rPr>
            </w:pPr>
            <w:r w:rsidRPr="00F11CDC">
              <w:rPr>
                <w:rFonts w:ascii="Calibri" w:eastAsia="Times New Roman" w:hAnsi="Calibri" w:cs="Calibri"/>
                <w:color w:val="000000"/>
                <w:sz w:val="20"/>
                <w:szCs w:val="20"/>
              </w:rPr>
              <w:t>RP-2000 with projection</w:t>
            </w:r>
          </w:p>
        </w:tc>
        <w:tc>
          <w:tcPr>
            <w:tcW w:w="1389" w:type="dxa"/>
            <w:shd w:val="clear" w:color="auto" w:fill="D9D9D9" w:themeFill="background1" w:themeFillShade="D9"/>
            <w:vAlign w:val="bottom"/>
          </w:tcPr>
          <w:p w14:paraId="3516583A" w14:textId="77777777" w:rsidR="00825666" w:rsidRPr="006E5282" w:rsidRDefault="00825666" w:rsidP="00F60E7C">
            <w:pPr>
              <w:contextualSpacing/>
              <w:jc w:val="center"/>
              <w:rPr>
                <w:rFonts w:ascii="Calibri" w:eastAsia="Times New Roman" w:hAnsi="Calibri" w:cs="Calibri"/>
                <w:sz w:val="20"/>
                <w:szCs w:val="20"/>
              </w:rPr>
            </w:pPr>
            <w:r w:rsidRPr="006E5282">
              <w:rPr>
                <w:rFonts w:ascii="Calibri" w:eastAsia="Times New Roman" w:hAnsi="Calibri" w:cs="Calibri"/>
                <w:sz w:val="20"/>
                <w:szCs w:val="20"/>
              </w:rPr>
              <w:t>18.55</w:t>
            </w:r>
          </w:p>
        </w:tc>
        <w:tc>
          <w:tcPr>
            <w:tcW w:w="1390" w:type="dxa"/>
            <w:vAlign w:val="bottom"/>
          </w:tcPr>
          <w:p w14:paraId="35438289" w14:textId="77777777" w:rsidR="00825666" w:rsidRPr="006E5282" w:rsidRDefault="00825666" w:rsidP="00F60E7C">
            <w:pPr>
              <w:contextualSpacing/>
              <w:jc w:val="center"/>
              <w:rPr>
                <w:rFonts w:ascii="Calibri" w:eastAsia="Times New Roman" w:hAnsi="Calibri" w:cs="Calibri"/>
                <w:sz w:val="20"/>
                <w:szCs w:val="20"/>
              </w:rPr>
            </w:pPr>
            <w:r w:rsidRPr="006E5282">
              <w:rPr>
                <w:rFonts w:ascii="Calibri" w:hAnsi="Calibri" w:cs="Calibri"/>
                <w:sz w:val="20"/>
                <w:szCs w:val="20"/>
              </w:rPr>
              <w:t>18.77</w:t>
            </w:r>
          </w:p>
        </w:tc>
        <w:tc>
          <w:tcPr>
            <w:tcW w:w="1389" w:type="dxa"/>
            <w:vAlign w:val="bottom"/>
          </w:tcPr>
          <w:p w14:paraId="79F396F6" w14:textId="77777777" w:rsidR="00825666" w:rsidRPr="006E5282" w:rsidRDefault="00825666" w:rsidP="00F60E7C">
            <w:pPr>
              <w:contextualSpacing/>
              <w:jc w:val="center"/>
              <w:rPr>
                <w:rFonts w:ascii="Calibri" w:eastAsia="Times New Roman" w:hAnsi="Calibri" w:cs="Calibri"/>
                <w:sz w:val="20"/>
                <w:szCs w:val="20"/>
              </w:rPr>
            </w:pPr>
            <w:r w:rsidRPr="006E5282">
              <w:rPr>
                <w:rFonts w:ascii="Calibri" w:hAnsi="Calibri" w:cs="Calibri"/>
                <w:sz w:val="20"/>
                <w:szCs w:val="20"/>
              </w:rPr>
              <w:t>18.43</w:t>
            </w:r>
          </w:p>
        </w:tc>
        <w:tc>
          <w:tcPr>
            <w:tcW w:w="1390" w:type="dxa"/>
            <w:vAlign w:val="bottom"/>
          </w:tcPr>
          <w:p w14:paraId="10F3495D" w14:textId="77777777" w:rsidR="00825666" w:rsidRPr="006E5282" w:rsidRDefault="00825666" w:rsidP="00F60E7C">
            <w:pPr>
              <w:contextualSpacing/>
              <w:jc w:val="center"/>
              <w:rPr>
                <w:rFonts w:ascii="Calibri" w:eastAsia="Times New Roman" w:hAnsi="Calibri" w:cs="Calibri"/>
                <w:sz w:val="20"/>
                <w:szCs w:val="20"/>
              </w:rPr>
            </w:pPr>
            <w:r w:rsidRPr="006E5282">
              <w:rPr>
                <w:rFonts w:ascii="Calibri" w:eastAsia="Times New Roman" w:hAnsi="Calibri" w:cs="Calibri"/>
                <w:sz w:val="20"/>
                <w:szCs w:val="20"/>
              </w:rPr>
              <w:t>27.35</w:t>
            </w:r>
          </w:p>
        </w:tc>
        <w:tc>
          <w:tcPr>
            <w:tcW w:w="1390" w:type="dxa"/>
            <w:vAlign w:val="bottom"/>
          </w:tcPr>
          <w:p w14:paraId="60524123" w14:textId="77777777" w:rsidR="00825666" w:rsidRPr="006E5282" w:rsidRDefault="00825666" w:rsidP="00F60E7C">
            <w:pPr>
              <w:contextualSpacing/>
              <w:jc w:val="center"/>
              <w:rPr>
                <w:rFonts w:ascii="Calibri" w:eastAsia="Times New Roman" w:hAnsi="Calibri" w:cs="Calibri"/>
                <w:sz w:val="20"/>
                <w:szCs w:val="20"/>
              </w:rPr>
            </w:pPr>
            <w:r w:rsidRPr="006E5282">
              <w:rPr>
                <w:rFonts w:ascii="Calibri" w:eastAsia="Times New Roman" w:hAnsi="Calibri" w:cs="Calibri"/>
                <w:sz w:val="20"/>
                <w:szCs w:val="20"/>
              </w:rPr>
              <w:t>10.21</w:t>
            </w:r>
          </w:p>
        </w:tc>
      </w:tr>
      <w:tr w:rsidR="00825666" w:rsidRPr="00F11CDC" w14:paraId="7088ECB5" w14:textId="77777777" w:rsidTr="00033521">
        <w:tc>
          <w:tcPr>
            <w:tcW w:w="2628" w:type="dxa"/>
            <w:vAlign w:val="bottom"/>
          </w:tcPr>
          <w:p w14:paraId="7A5DF42D" w14:textId="77777777" w:rsidR="00825666" w:rsidRPr="00F11CDC" w:rsidRDefault="00825666" w:rsidP="00F60E7C">
            <w:pPr>
              <w:contextualSpacing/>
              <w:jc w:val="center"/>
              <w:rPr>
                <w:rFonts w:ascii="Calibri" w:eastAsia="Times New Roman" w:hAnsi="Calibri" w:cs="Calibri"/>
                <w:color w:val="000000"/>
                <w:sz w:val="20"/>
                <w:szCs w:val="20"/>
              </w:rPr>
            </w:pPr>
            <w:r w:rsidRPr="00F11CDC">
              <w:rPr>
                <w:rFonts w:ascii="Calibri" w:eastAsia="Times New Roman" w:hAnsi="Calibri" w:cs="Calibri"/>
                <w:color w:val="000000"/>
                <w:sz w:val="20"/>
                <w:szCs w:val="20"/>
              </w:rPr>
              <w:t>RP-2014</w:t>
            </w:r>
          </w:p>
        </w:tc>
        <w:tc>
          <w:tcPr>
            <w:tcW w:w="1389" w:type="dxa"/>
            <w:vAlign w:val="bottom"/>
          </w:tcPr>
          <w:p w14:paraId="016D603B" w14:textId="77777777" w:rsidR="00825666" w:rsidRPr="00683492" w:rsidRDefault="00825666" w:rsidP="00F60E7C">
            <w:pPr>
              <w:contextualSpacing/>
              <w:jc w:val="center"/>
              <w:rPr>
                <w:rFonts w:ascii="Calibri" w:eastAsia="Times New Roman" w:hAnsi="Calibri" w:cs="Calibri"/>
                <w:sz w:val="20"/>
                <w:szCs w:val="20"/>
              </w:rPr>
            </w:pPr>
            <w:r w:rsidRPr="00683492">
              <w:rPr>
                <w:rFonts w:ascii="Calibri" w:eastAsia="Times New Roman" w:hAnsi="Calibri" w:cs="Calibri"/>
                <w:sz w:val="20"/>
                <w:szCs w:val="20"/>
              </w:rPr>
              <w:t>22.52</w:t>
            </w:r>
          </w:p>
        </w:tc>
        <w:tc>
          <w:tcPr>
            <w:tcW w:w="1390" w:type="dxa"/>
            <w:vAlign w:val="bottom"/>
          </w:tcPr>
          <w:p w14:paraId="5C1170E7" w14:textId="77777777" w:rsidR="00825666" w:rsidRPr="00683492" w:rsidRDefault="00825666" w:rsidP="00F60E7C">
            <w:pPr>
              <w:contextualSpacing/>
              <w:jc w:val="center"/>
              <w:rPr>
                <w:rFonts w:ascii="Calibri" w:eastAsia="Times New Roman" w:hAnsi="Calibri" w:cs="Calibri"/>
                <w:sz w:val="20"/>
                <w:szCs w:val="20"/>
              </w:rPr>
            </w:pPr>
            <w:r w:rsidRPr="00683492">
              <w:rPr>
                <w:rFonts w:ascii="Calibri" w:hAnsi="Calibri" w:cs="Calibri"/>
                <w:sz w:val="20"/>
                <w:szCs w:val="20"/>
              </w:rPr>
              <w:t>23.04</w:t>
            </w:r>
          </w:p>
        </w:tc>
        <w:tc>
          <w:tcPr>
            <w:tcW w:w="1389" w:type="dxa"/>
            <w:vAlign w:val="bottom"/>
          </w:tcPr>
          <w:p w14:paraId="242533F9" w14:textId="77777777" w:rsidR="00825666" w:rsidRPr="00683492" w:rsidRDefault="00825666" w:rsidP="00F60E7C">
            <w:pPr>
              <w:contextualSpacing/>
              <w:jc w:val="center"/>
              <w:rPr>
                <w:rFonts w:ascii="Calibri" w:eastAsia="Times New Roman" w:hAnsi="Calibri" w:cs="Calibri"/>
                <w:sz w:val="20"/>
                <w:szCs w:val="20"/>
              </w:rPr>
            </w:pPr>
            <w:r w:rsidRPr="00683492">
              <w:rPr>
                <w:rFonts w:ascii="Calibri" w:hAnsi="Calibri" w:cs="Calibri"/>
                <w:sz w:val="20"/>
                <w:szCs w:val="20"/>
              </w:rPr>
              <w:t>22.22</w:t>
            </w:r>
          </w:p>
        </w:tc>
        <w:tc>
          <w:tcPr>
            <w:tcW w:w="1390" w:type="dxa"/>
            <w:vAlign w:val="bottom"/>
          </w:tcPr>
          <w:p w14:paraId="4247A588" w14:textId="77777777" w:rsidR="00825666" w:rsidRPr="00683492" w:rsidRDefault="00825666" w:rsidP="00F60E7C">
            <w:pPr>
              <w:contextualSpacing/>
              <w:jc w:val="center"/>
              <w:rPr>
                <w:rFonts w:ascii="Calibri" w:eastAsia="Times New Roman" w:hAnsi="Calibri" w:cs="Calibri"/>
                <w:sz w:val="20"/>
                <w:szCs w:val="20"/>
              </w:rPr>
            </w:pPr>
            <w:r w:rsidRPr="00683492">
              <w:rPr>
                <w:rFonts w:ascii="Calibri" w:eastAsia="Times New Roman" w:hAnsi="Calibri" w:cs="Calibri"/>
                <w:sz w:val="20"/>
                <w:szCs w:val="20"/>
              </w:rPr>
              <w:t>31.32</w:t>
            </w:r>
          </w:p>
        </w:tc>
        <w:tc>
          <w:tcPr>
            <w:tcW w:w="1390" w:type="dxa"/>
            <w:vAlign w:val="bottom"/>
          </w:tcPr>
          <w:p w14:paraId="51A63696" w14:textId="77777777" w:rsidR="00825666" w:rsidRPr="00683492" w:rsidRDefault="00825666" w:rsidP="00F60E7C">
            <w:pPr>
              <w:contextualSpacing/>
              <w:jc w:val="center"/>
              <w:rPr>
                <w:rFonts w:ascii="Calibri" w:eastAsia="Times New Roman" w:hAnsi="Calibri" w:cs="Calibri"/>
                <w:sz w:val="20"/>
                <w:szCs w:val="20"/>
              </w:rPr>
            </w:pPr>
            <w:r w:rsidRPr="00683492">
              <w:rPr>
                <w:rFonts w:ascii="Calibri" w:eastAsia="Times New Roman" w:hAnsi="Calibri" w:cs="Calibri"/>
                <w:sz w:val="20"/>
                <w:szCs w:val="20"/>
              </w:rPr>
              <w:t>14.19</w:t>
            </w:r>
          </w:p>
        </w:tc>
      </w:tr>
    </w:tbl>
    <w:p w14:paraId="50A0A6FC" w14:textId="71F2EF44" w:rsidR="00825963" w:rsidRPr="0082695B" w:rsidRDefault="00825666" w:rsidP="00F60E7C">
      <w:pPr>
        <w:spacing w:line="240" w:lineRule="auto"/>
        <w:contextualSpacing/>
        <w:rPr>
          <w:rFonts w:ascii="Times New Roman" w:hAnsi="Times New Roman" w:cs="Times New Roman"/>
        </w:rPr>
        <w:sectPr w:rsidR="00825963" w:rsidRPr="0082695B" w:rsidSect="00DB3189">
          <w:headerReference w:type="default" r:id="rId23"/>
          <w:footerReference w:type="default" r:id="rId24"/>
          <w:pgSz w:w="12240" w:h="15840"/>
          <w:pgMar w:top="1440" w:right="1440" w:bottom="1440" w:left="1440" w:header="720" w:footer="720" w:gutter="0"/>
          <w:cols w:space="720"/>
          <w:docGrid w:linePitch="360"/>
        </w:sectPr>
      </w:pPr>
      <w:r>
        <w:rPr>
          <w:sz w:val="20"/>
        </w:rPr>
        <w:t>Notes: Shaded cells all represent the uniform plan at median conditions</w:t>
      </w:r>
      <w:r w:rsidR="00AF599B">
        <w:rPr>
          <w:sz w:val="20"/>
        </w:rPr>
        <w:t xml:space="preserve"> (near median for salary growth rate)</w:t>
      </w:r>
      <w:r>
        <w:rPr>
          <w:sz w:val="20"/>
        </w:rPr>
        <w:t xml:space="preserve">. All values reported as percent of covered payroll. </w:t>
      </w:r>
      <w:r w:rsidR="00825963">
        <w:rPr>
          <w:rFonts w:ascii="Times New Roman" w:hAnsi="Times New Roman" w:cs="Times New Roman"/>
          <w:sz w:val="24"/>
          <w:szCs w:val="24"/>
        </w:rPr>
        <w:br w:type="page"/>
      </w:r>
    </w:p>
    <w:p w14:paraId="53558F01" w14:textId="28E49107" w:rsidR="003C0B18" w:rsidRPr="00F60E7C" w:rsidRDefault="003C0B18" w:rsidP="00F60E7C">
      <w:pPr>
        <w:spacing w:after="0" w:line="240" w:lineRule="auto"/>
        <w:contextualSpacing/>
        <w:jc w:val="center"/>
        <w:rPr>
          <w:rFonts w:ascii="Times New Roman" w:hAnsi="Times New Roman" w:cs="Times New Roman"/>
          <w:szCs w:val="24"/>
        </w:rPr>
      </w:pPr>
      <w:r w:rsidRPr="00F60E7C">
        <w:rPr>
          <w:rFonts w:ascii="Times New Roman" w:hAnsi="Times New Roman" w:cs="Times New Roman"/>
          <w:szCs w:val="24"/>
        </w:rPr>
        <w:lastRenderedPageBreak/>
        <w:t xml:space="preserve">Figure 1: </w:t>
      </w:r>
      <w:r w:rsidR="00FC3012" w:rsidRPr="0059485B">
        <w:rPr>
          <w:rFonts w:ascii="Times New Roman" w:hAnsi="Times New Roman" w:cs="Times New Roman"/>
          <w:sz w:val="24"/>
          <w:szCs w:val="24"/>
        </w:rPr>
        <w:t>Funding ratio values at the full range of changes to each actuarial input (ceteris paribus)</w:t>
      </w:r>
    </w:p>
    <w:p w14:paraId="371095EF" w14:textId="4951C23B" w:rsidR="003C0B18" w:rsidRDefault="003C0B18" w:rsidP="00F60E7C">
      <w:pPr>
        <w:spacing w:after="0" w:line="240" w:lineRule="auto"/>
        <w:contextualSpacing/>
        <w:jc w:val="center"/>
        <w:rPr>
          <w:rFonts w:ascii="Times New Roman" w:hAnsi="Times New Roman" w:cs="Times New Roman"/>
          <w:sz w:val="24"/>
          <w:szCs w:val="24"/>
        </w:rPr>
      </w:pPr>
    </w:p>
    <w:p w14:paraId="1254CCCA" w14:textId="6FE98BCD" w:rsidR="003C0B18" w:rsidRDefault="00FC3012" w:rsidP="00F60E7C">
      <w:pPr>
        <w:spacing w:after="0" w:line="240" w:lineRule="auto"/>
        <w:contextualSpacing/>
        <w:jc w:val="center"/>
        <w:rPr>
          <w:rFonts w:ascii="Times New Roman" w:hAnsi="Times New Roman" w:cs="Times New Roman"/>
          <w:sz w:val="24"/>
          <w:szCs w:val="24"/>
        </w:rPr>
      </w:pPr>
      <w:r>
        <w:rPr>
          <w:noProof/>
          <w:lang w:eastAsia="en-US"/>
        </w:rPr>
        <w:drawing>
          <wp:inline distT="0" distB="0" distL="0" distR="0" wp14:anchorId="6DA52218" wp14:editId="7319DED6">
            <wp:extent cx="5486400" cy="3200400"/>
            <wp:effectExtent l="0" t="0" r="19050" b="190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4C2EE4E1" w14:textId="77777777" w:rsidR="005E4DB5" w:rsidRDefault="005E4DB5" w:rsidP="005E4DB5">
      <w:pPr>
        <w:rPr>
          <w:rFonts w:ascii="Times New Roman" w:hAnsi="Times New Roman" w:cs="Times New Roman"/>
          <w:szCs w:val="24"/>
        </w:rPr>
      </w:pPr>
    </w:p>
    <w:p w14:paraId="1C988847" w14:textId="041CBB57" w:rsidR="00F73217" w:rsidRPr="005E4DB5" w:rsidRDefault="003C0B18" w:rsidP="005E4DB5">
      <w:pPr>
        <w:rPr>
          <w:rFonts w:ascii="Times New Roman" w:hAnsi="Times New Roman" w:cs="Times New Roman"/>
          <w:szCs w:val="24"/>
        </w:rPr>
      </w:pPr>
      <w:r w:rsidRPr="00F60E7C">
        <w:rPr>
          <w:rFonts w:ascii="Times New Roman" w:hAnsi="Times New Roman" w:cs="Times New Roman"/>
          <w:szCs w:val="24"/>
        </w:rPr>
        <w:t>Figure 2</w:t>
      </w:r>
      <w:r w:rsidR="00936957" w:rsidRPr="00F60E7C">
        <w:rPr>
          <w:rFonts w:ascii="Times New Roman" w:hAnsi="Times New Roman" w:cs="Times New Roman"/>
          <w:szCs w:val="24"/>
        </w:rPr>
        <w:t xml:space="preserve">: </w:t>
      </w:r>
      <w:r w:rsidR="00FC3012" w:rsidRPr="0059485B">
        <w:rPr>
          <w:rFonts w:ascii="Times New Roman" w:hAnsi="Times New Roman" w:cs="Times New Roman"/>
          <w:sz w:val="24"/>
          <w:szCs w:val="24"/>
        </w:rPr>
        <w:t>A</w:t>
      </w:r>
      <w:r w:rsidR="00FC3012">
        <w:rPr>
          <w:rFonts w:ascii="Times New Roman" w:hAnsi="Times New Roman" w:cs="Times New Roman"/>
          <w:sz w:val="24"/>
          <w:szCs w:val="24"/>
        </w:rPr>
        <w:t>D</w:t>
      </w:r>
      <w:r w:rsidR="00FC3012" w:rsidRPr="0059485B">
        <w:rPr>
          <w:rFonts w:ascii="Times New Roman" w:hAnsi="Times New Roman" w:cs="Times New Roman"/>
          <w:sz w:val="24"/>
          <w:szCs w:val="24"/>
        </w:rPr>
        <w:t>C/payroll values at the full range of changes to each actuarial input (ceteris paribus)</w:t>
      </w:r>
    </w:p>
    <w:p w14:paraId="6B5851A7" w14:textId="7D1A5F75" w:rsidR="00E13783" w:rsidRDefault="00FC3012" w:rsidP="00F60E7C">
      <w:pPr>
        <w:spacing w:after="0" w:line="240" w:lineRule="auto"/>
        <w:contextualSpacing/>
        <w:jc w:val="center"/>
        <w:rPr>
          <w:rFonts w:ascii="Times New Roman" w:hAnsi="Times New Roman" w:cs="Times New Roman"/>
          <w:sz w:val="24"/>
          <w:szCs w:val="24"/>
        </w:rPr>
      </w:pPr>
      <w:r>
        <w:rPr>
          <w:noProof/>
          <w:lang w:eastAsia="en-US"/>
        </w:rPr>
        <w:drawing>
          <wp:inline distT="0" distB="0" distL="0" distR="0" wp14:anchorId="77CCFE5E" wp14:editId="0E474786">
            <wp:extent cx="5486400" cy="3200400"/>
            <wp:effectExtent l="0" t="0" r="19050" b="1905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076BCABF" w14:textId="3842DDCC" w:rsidR="00E13783" w:rsidRDefault="00E13783" w:rsidP="00F60E7C">
      <w:pPr>
        <w:spacing w:after="0" w:line="240" w:lineRule="auto"/>
        <w:contextualSpacing/>
        <w:jc w:val="center"/>
        <w:rPr>
          <w:rFonts w:ascii="Times New Roman" w:hAnsi="Times New Roman" w:cs="Times New Roman"/>
          <w:sz w:val="24"/>
          <w:szCs w:val="24"/>
        </w:rPr>
        <w:sectPr w:rsidR="00E13783" w:rsidSect="00DB3189">
          <w:pgSz w:w="12240" w:h="15840"/>
          <w:pgMar w:top="1440" w:right="1440" w:bottom="1440" w:left="1440" w:header="720" w:footer="720" w:gutter="0"/>
          <w:cols w:space="720"/>
          <w:docGrid w:linePitch="360"/>
        </w:sectPr>
      </w:pPr>
    </w:p>
    <w:p w14:paraId="19366410" w14:textId="44DC76AA" w:rsidR="00DB432C" w:rsidRPr="00F60E7C" w:rsidRDefault="00DB432C" w:rsidP="00F60E7C">
      <w:pPr>
        <w:spacing w:after="0" w:line="240" w:lineRule="auto"/>
        <w:contextualSpacing/>
        <w:jc w:val="center"/>
        <w:rPr>
          <w:rFonts w:ascii="Times New Roman" w:hAnsi="Times New Roman" w:cs="Times New Roman"/>
          <w:szCs w:val="24"/>
        </w:rPr>
      </w:pPr>
      <w:r w:rsidRPr="00F60E7C">
        <w:rPr>
          <w:rFonts w:ascii="Times New Roman" w:hAnsi="Times New Roman" w:cs="Times New Roman"/>
          <w:szCs w:val="24"/>
        </w:rPr>
        <w:lastRenderedPageBreak/>
        <w:t xml:space="preserve">Figure </w:t>
      </w:r>
      <w:r w:rsidR="003C0B18" w:rsidRPr="00F60E7C">
        <w:rPr>
          <w:rFonts w:ascii="Times New Roman" w:hAnsi="Times New Roman" w:cs="Times New Roman"/>
          <w:szCs w:val="24"/>
        </w:rPr>
        <w:t>3</w:t>
      </w:r>
      <w:r w:rsidRPr="00F60E7C">
        <w:rPr>
          <w:rFonts w:ascii="Times New Roman" w:hAnsi="Times New Roman" w:cs="Times New Roman"/>
          <w:szCs w:val="24"/>
        </w:rPr>
        <w:t xml:space="preserve">: Comparison of the effects of </w:t>
      </w:r>
      <w:r w:rsidR="00F60E7C" w:rsidRPr="00F60E7C">
        <w:rPr>
          <w:rFonts w:ascii="Times New Roman" w:hAnsi="Times New Roman" w:cs="Times New Roman"/>
          <w:szCs w:val="24"/>
        </w:rPr>
        <w:t>changing</w:t>
      </w:r>
      <w:r w:rsidRPr="00F60E7C">
        <w:rPr>
          <w:rFonts w:ascii="Times New Roman" w:hAnsi="Times New Roman" w:cs="Times New Roman"/>
          <w:szCs w:val="24"/>
        </w:rPr>
        <w:t xml:space="preserve"> salary growth </w:t>
      </w:r>
      <w:r w:rsidR="00F60E7C" w:rsidRPr="00F60E7C">
        <w:rPr>
          <w:rFonts w:ascii="Times New Roman" w:hAnsi="Times New Roman" w:cs="Times New Roman"/>
          <w:szCs w:val="24"/>
        </w:rPr>
        <w:t xml:space="preserve">rate </w:t>
      </w:r>
      <w:r w:rsidR="00D23578" w:rsidRPr="00F60E7C">
        <w:rPr>
          <w:rFonts w:ascii="Times New Roman" w:hAnsi="Times New Roman" w:cs="Times New Roman"/>
          <w:szCs w:val="24"/>
        </w:rPr>
        <w:t>assumptions</w:t>
      </w:r>
      <w:r w:rsidR="00F60E7C" w:rsidRPr="00F60E7C">
        <w:rPr>
          <w:rFonts w:ascii="Times New Roman" w:hAnsi="Times New Roman" w:cs="Times New Roman"/>
          <w:szCs w:val="24"/>
        </w:rPr>
        <w:t xml:space="preserve"> under different conditions</w:t>
      </w:r>
    </w:p>
    <w:p w14:paraId="472328AD" w14:textId="77777777" w:rsidR="00F73217" w:rsidRDefault="00F73217" w:rsidP="00F60E7C">
      <w:pPr>
        <w:spacing w:after="0" w:line="240" w:lineRule="auto"/>
        <w:contextualSpacing/>
        <w:jc w:val="center"/>
        <w:rPr>
          <w:rFonts w:ascii="Times New Roman" w:hAnsi="Times New Roman" w:cs="Times New Roman"/>
          <w:sz w:val="24"/>
          <w:szCs w:val="24"/>
        </w:rPr>
      </w:pPr>
    </w:p>
    <w:p w14:paraId="1835DFC0" w14:textId="2D38AD74" w:rsidR="009A06A1" w:rsidRPr="00DB432C" w:rsidRDefault="00CC3A15" w:rsidP="00F60E7C">
      <w:pPr>
        <w:spacing w:after="0" w:line="240" w:lineRule="auto"/>
        <w:contextualSpacing/>
        <w:jc w:val="center"/>
        <w:rPr>
          <w:rFonts w:ascii="Times New Roman" w:hAnsi="Times New Roman" w:cs="Times New Roman"/>
          <w:sz w:val="24"/>
          <w:szCs w:val="24"/>
        </w:rPr>
      </w:pPr>
      <w:r>
        <w:rPr>
          <w:noProof/>
          <w:lang w:eastAsia="en-US"/>
        </w:rPr>
        <w:drawing>
          <wp:inline distT="0" distB="0" distL="0" distR="0" wp14:anchorId="7262F55B" wp14:editId="44334D72">
            <wp:extent cx="7054195" cy="5268036"/>
            <wp:effectExtent l="0" t="0" r="0" b="8890"/>
            <wp:docPr id="1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pic:cNvPicPr>
                      <a:picLocks noChangeAspect="1"/>
                    </pic:cNvPicPr>
                  </pic:nvPicPr>
                  <pic:blipFill>
                    <a:blip r:embed="rId27"/>
                    <a:stretch>
                      <a:fillRect/>
                    </a:stretch>
                  </pic:blipFill>
                  <pic:spPr>
                    <a:xfrm>
                      <a:off x="0" y="0"/>
                      <a:ext cx="7067167" cy="5277723"/>
                    </a:xfrm>
                    <a:prstGeom prst="rect">
                      <a:avLst/>
                    </a:prstGeom>
                  </pic:spPr>
                </pic:pic>
              </a:graphicData>
            </a:graphic>
          </wp:inline>
        </w:drawing>
      </w:r>
    </w:p>
    <w:p w14:paraId="5D1F9858" w14:textId="76249E64" w:rsidR="00DB432C" w:rsidRDefault="00DB432C" w:rsidP="00F60E7C">
      <w:pPr>
        <w:spacing w:after="0" w:line="240" w:lineRule="auto"/>
        <w:contextualSpacing/>
      </w:pPr>
    </w:p>
    <w:p w14:paraId="72F3FCBC" w14:textId="77777777" w:rsidR="00F73217" w:rsidRDefault="00F73217" w:rsidP="00F60E7C">
      <w:pPr>
        <w:spacing w:after="0" w:line="240" w:lineRule="auto"/>
        <w:contextualSpacing/>
        <w:jc w:val="center"/>
        <w:rPr>
          <w:rFonts w:ascii="Times New Roman" w:hAnsi="Times New Roman" w:cs="Times New Roman"/>
          <w:sz w:val="24"/>
          <w:szCs w:val="24"/>
        </w:rPr>
        <w:sectPr w:rsidR="00F73217" w:rsidSect="00F73217">
          <w:pgSz w:w="15840" w:h="12240" w:orient="landscape"/>
          <w:pgMar w:top="1440" w:right="1440" w:bottom="1440" w:left="1440" w:header="720" w:footer="720" w:gutter="0"/>
          <w:cols w:space="720"/>
          <w:docGrid w:linePitch="360"/>
        </w:sectPr>
      </w:pPr>
    </w:p>
    <w:p w14:paraId="20244EB3" w14:textId="6B52BFB2" w:rsidR="00DB432C" w:rsidRPr="00F60E7C" w:rsidRDefault="00DB432C" w:rsidP="00F60E7C">
      <w:pPr>
        <w:tabs>
          <w:tab w:val="left" w:pos="6210"/>
        </w:tabs>
        <w:spacing w:after="0" w:line="240" w:lineRule="auto"/>
        <w:contextualSpacing/>
        <w:jc w:val="center"/>
        <w:rPr>
          <w:rFonts w:ascii="Times New Roman" w:hAnsi="Times New Roman" w:cs="Times New Roman"/>
          <w:szCs w:val="24"/>
        </w:rPr>
      </w:pPr>
      <w:r w:rsidRPr="00F60E7C">
        <w:rPr>
          <w:rFonts w:ascii="Times New Roman" w:hAnsi="Times New Roman" w:cs="Times New Roman"/>
          <w:szCs w:val="24"/>
        </w:rPr>
        <w:lastRenderedPageBreak/>
        <w:t xml:space="preserve">Figure </w:t>
      </w:r>
      <w:r w:rsidR="003C0B18" w:rsidRPr="00F60E7C">
        <w:rPr>
          <w:rFonts w:ascii="Times New Roman" w:hAnsi="Times New Roman" w:cs="Times New Roman"/>
          <w:szCs w:val="24"/>
        </w:rPr>
        <w:t>4: Effect of chang</w:t>
      </w:r>
      <w:r w:rsidR="00F60E7C">
        <w:rPr>
          <w:rFonts w:ascii="Times New Roman" w:hAnsi="Times New Roman" w:cs="Times New Roman"/>
          <w:szCs w:val="24"/>
        </w:rPr>
        <w:t>ing</w:t>
      </w:r>
      <w:r w:rsidRPr="00F60E7C">
        <w:rPr>
          <w:rFonts w:ascii="Times New Roman" w:hAnsi="Times New Roman" w:cs="Times New Roman"/>
          <w:szCs w:val="24"/>
        </w:rPr>
        <w:t xml:space="preserve"> the amortization period</w:t>
      </w:r>
      <w:r w:rsidR="00F60E7C">
        <w:rPr>
          <w:rFonts w:ascii="Times New Roman" w:hAnsi="Times New Roman" w:cs="Times New Roman"/>
          <w:szCs w:val="24"/>
        </w:rPr>
        <w:t xml:space="preserve"> on the ARC/Payroll</w:t>
      </w:r>
    </w:p>
    <w:p w14:paraId="3913C049" w14:textId="77777777" w:rsidR="009A06A1" w:rsidRPr="00DB432C" w:rsidRDefault="009A06A1" w:rsidP="00F60E7C">
      <w:pPr>
        <w:spacing w:after="0" w:line="240" w:lineRule="auto"/>
        <w:contextualSpacing/>
        <w:jc w:val="center"/>
        <w:rPr>
          <w:rFonts w:ascii="Times New Roman" w:hAnsi="Times New Roman" w:cs="Times New Roman"/>
          <w:sz w:val="24"/>
          <w:szCs w:val="24"/>
        </w:rPr>
      </w:pPr>
    </w:p>
    <w:p w14:paraId="22C376F9" w14:textId="4E921C92" w:rsidR="00825963" w:rsidRDefault="00305A3F" w:rsidP="00DB432C">
      <w:pPr>
        <w:spacing w:after="0" w:line="240" w:lineRule="auto"/>
        <w:contextualSpacing/>
        <w:rPr>
          <w:rFonts w:ascii="Times New Roman" w:hAnsi="Times New Roman" w:cs="Times New Roman"/>
          <w:sz w:val="24"/>
          <w:szCs w:val="24"/>
        </w:rPr>
      </w:pPr>
      <w:r>
        <w:rPr>
          <w:rFonts w:ascii="Times New Roman" w:hAnsi="Times New Roman" w:cs="Times New Roman"/>
          <w:noProof/>
          <w:sz w:val="24"/>
          <w:szCs w:val="24"/>
          <w:lang w:eastAsia="en-US"/>
        </w:rPr>
        <w:drawing>
          <wp:inline distT="0" distB="0" distL="0" distR="0" wp14:anchorId="60E0369E" wp14:editId="110A2DF7">
            <wp:extent cx="6358890" cy="3858895"/>
            <wp:effectExtent l="0" t="0" r="381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358890" cy="3858895"/>
                    </a:xfrm>
                    <a:prstGeom prst="rect">
                      <a:avLst/>
                    </a:prstGeom>
                    <a:noFill/>
                  </pic:spPr>
                </pic:pic>
              </a:graphicData>
            </a:graphic>
          </wp:inline>
        </w:drawing>
      </w:r>
    </w:p>
    <w:sectPr w:rsidR="00825963" w:rsidSect="00DB318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4CB03D6" w14:textId="77777777" w:rsidR="008E21C0" w:rsidRDefault="008E21C0" w:rsidP="007B697A">
      <w:pPr>
        <w:spacing w:after="0" w:line="240" w:lineRule="auto"/>
      </w:pPr>
      <w:r>
        <w:separator/>
      </w:r>
    </w:p>
  </w:endnote>
  <w:endnote w:type="continuationSeparator" w:id="0">
    <w:p w14:paraId="2269940D" w14:textId="77777777" w:rsidR="008E21C0" w:rsidRDefault="008E21C0" w:rsidP="007B69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66982149"/>
      <w:docPartObj>
        <w:docPartGallery w:val="Page Numbers (Bottom of Page)"/>
        <w:docPartUnique/>
      </w:docPartObj>
    </w:sdtPr>
    <w:sdtEndPr>
      <w:rPr>
        <w:noProof/>
      </w:rPr>
    </w:sdtEndPr>
    <w:sdtContent>
      <w:p w14:paraId="29E20CE9" w14:textId="77777777" w:rsidR="0000355F" w:rsidRDefault="0000355F">
        <w:pPr>
          <w:pStyle w:val="Footer"/>
          <w:jc w:val="center"/>
        </w:pPr>
        <w:r>
          <w:fldChar w:fldCharType="begin"/>
        </w:r>
        <w:r>
          <w:instrText xml:space="preserve"> PAGE   \* MERGEFORMAT </w:instrText>
        </w:r>
        <w:r>
          <w:fldChar w:fldCharType="separate"/>
        </w:r>
        <w:r w:rsidR="00273A79">
          <w:rPr>
            <w:noProof/>
          </w:rPr>
          <w:t>1</w:t>
        </w:r>
        <w:r>
          <w:rPr>
            <w:noProof/>
          </w:rPr>
          <w:fldChar w:fldCharType="end"/>
        </w:r>
      </w:p>
    </w:sdtContent>
  </w:sdt>
  <w:p w14:paraId="60160AFA" w14:textId="77777777" w:rsidR="0000355F" w:rsidRDefault="0000355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E0251CF" w14:textId="77777777" w:rsidR="008E21C0" w:rsidRDefault="008E21C0" w:rsidP="007B697A">
      <w:pPr>
        <w:spacing w:after="0" w:line="240" w:lineRule="auto"/>
      </w:pPr>
      <w:r>
        <w:separator/>
      </w:r>
    </w:p>
  </w:footnote>
  <w:footnote w:type="continuationSeparator" w:id="0">
    <w:p w14:paraId="05ECDCD0" w14:textId="77777777" w:rsidR="008E21C0" w:rsidRDefault="008E21C0" w:rsidP="007B697A">
      <w:pPr>
        <w:spacing w:after="0" w:line="240" w:lineRule="auto"/>
      </w:pPr>
      <w:r>
        <w:continuationSeparator/>
      </w:r>
    </w:p>
  </w:footnote>
  <w:footnote w:id="1">
    <w:p w14:paraId="31E7BCCF" w14:textId="50378527" w:rsidR="0000355F" w:rsidRDefault="0000355F" w:rsidP="00713404">
      <w:pPr>
        <w:pStyle w:val="FootnoteText"/>
      </w:pPr>
      <w:r>
        <w:rPr>
          <w:rStyle w:val="FootnoteReference"/>
        </w:rPr>
        <w:footnoteRef/>
      </w:r>
      <w:r>
        <w:t xml:space="preserve"> For example, if a plan is 100 percent funded with $100 assets and $100 liabilities, a 10 percentage point decrease in the liability increases the funding ratio by 11.11 percentage points ($100/$100-$100/$90)*100%. And, if a plan is 50% funded with $50 assets and $100 liabilities, a 10% decrease in the liability only increases the funding ratio by 5.56 percentage points ($50/$100-$50/$90)*100%.</w:t>
      </w:r>
    </w:p>
  </w:footnote>
  <w:footnote w:id="2">
    <w:p w14:paraId="536001D4" w14:textId="1F8E08B8" w:rsidR="0000355F" w:rsidRDefault="0000355F">
      <w:pPr>
        <w:pStyle w:val="FootnoteText"/>
      </w:pPr>
      <w:r>
        <w:rPr>
          <w:rStyle w:val="FootnoteReference"/>
        </w:rPr>
        <w:footnoteRef/>
      </w:r>
      <w:r>
        <w:t xml:space="preserve"> As explained in the last section, b</w:t>
      </w:r>
      <w:r w:rsidRPr="0006573D">
        <w:t>ecause EAN accumulate</w:t>
      </w:r>
      <w:r>
        <w:t>s AAL</w:t>
      </w:r>
      <w:r w:rsidRPr="0006573D">
        <w:t>s at different pa</w:t>
      </w:r>
      <w:r>
        <w:t>ce for</w:t>
      </w:r>
      <w:r w:rsidRPr="0006573D">
        <w:t xml:space="preserve"> different age</w:t>
      </w:r>
      <w:r>
        <w:t>s, when a plan changes</w:t>
      </w:r>
      <w:r w:rsidRPr="0006573D">
        <w:t xml:space="preserve"> the expected salary growth rate, an older plan </w:t>
      </w:r>
      <w:r>
        <w:t xml:space="preserve">is </w:t>
      </w:r>
      <w:proofErr w:type="gramStart"/>
      <w:r>
        <w:t>effected</w:t>
      </w:r>
      <w:proofErr w:type="gramEnd"/>
      <w:r w:rsidRPr="0006573D">
        <w:t xml:space="preserve"> more than a yo</w:t>
      </w:r>
      <w:r>
        <w:t>unger plan.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DC0F68" w14:textId="20EDE63B" w:rsidR="00273A79" w:rsidRDefault="00273A79">
    <w:pPr>
      <w:pStyle w:val="Header"/>
    </w:pPr>
    <w:r>
      <w:t>This paper is prepared for submission to an academic journal. Please do not publish (electronically, print, or otherwise). Please do not cite without permission of the authors. Copyright is owned by authors.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FD16A6"/>
    <w:multiLevelType w:val="hybridMultilevel"/>
    <w:tmpl w:val="28EE83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5F214DDE"/>
    <w:multiLevelType w:val="hybridMultilevel"/>
    <w:tmpl w:val="F83A5C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6383E31"/>
    <w:multiLevelType w:val="hybridMultilevel"/>
    <w:tmpl w:val="5B9E32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B130F8F"/>
    <w:multiLevelType w:val="hybridMultilevel"/>
    <w:tmpl w:val="44CEF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5842B28"/>
    <w:multiLevelType w:val="hybridMultilevel"/>
    <w:tmpl w:val="C85649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1369"/>
    <w:rsid w:val="0000014C"/>
    <w:rsid w:val="00000E88"/>
    <w:rsid w:val="000032C9"/>
    <w:rsid w:val="0000355F"/>
    <w:rsid w:val="00006749"/>
    <w:rsid w:val="000100E2"/>
    <w:rsid w:val="00013013"/>
    <w:rsid w:val="00015151"/>
    <w:rsid w:val="00016D3D"/>
    <w:rsid w:val="0002113A"/>
    <w:rsid w:val="00025404"/>
    <w:rsid w:val="0002583D"/>
    <w:rsid w:val="00026815"/>
    <w:rsid w:val="000306DF"/>
    <w:rsid w:val="00031B7D"/>
    <w:rsid w:val="00033521"/>
    <w:rsid w:val="000401AE"/>
    <w:rsid w:val="00041369"/>
    <w:rsid w:val="000436FF"/>
    <w:rsid w:val="00053C77"/>
    <w:rsid w:val="0005446E"/>
    <w:rsid w:val="0005648E"/>
    <w:rsid w:val="000603AF"/>
    <w:rsid w:val="0006051B"/>
    <w:rsid w:val="00061EC2"/>
    <w:rsid w:val="00062E84"/>
    <w:rsid w:val="0006573D"/>
    <w:rsid w:val="00073894"/>
    <w:rsid w:val="00073DB4"/>
    <w:rsid w:val="00076807"/>
    <w:rsid w:val="00084015"/>
    <w:rsid w:val="0008576D"/>
    <w:rsid w:val="000951E1"/>
    <w:rsid w:val="00095CEF"/>
    <w:rsid w:val="00097AC9"/>
    <w:rsid w:val="000A29F3"/>
    <w:rsid w:val="000A684B"/>
    <w:rsid w:val="000B3252"/>
    <w:rsid w:val="000C1C42"/>
    <w:rsid w:val="000C23A2"/>
    <w:rsid w:val="000C2B3F"/>
    <w:rsid w:val="000C45C8"/>
    <w:rsid w:val="000D0C2D"/>
    <w:rsid w:val="000D1473"/>
    <w:rsid w:val="000D1570"/>
    <w:rsid w:val="000E112C"/>
    <w:rsid w:val="000E19EE"/>
    <w:rsid w:val="000E253B"/>
    <w:rsid w:val="000E2DBA"/>
    <w:rsid w:val="000E4BBB"/>
    <w:rsid w:val="000E614B"/>
    <w:rsid w:val="000F1BC9"/>
    <w:rsid w:val="000F6E91"/>
    <w:rsid w:val="00100CFA"/>
    <w:rsid w:val="00100ECC"/>
    <w:rsid w:val="00102EF4"/>
    <w:rsid w:val="00104340"/>
    <w:rsid w:val="0010464D"/>
    <w:rsid w:val="001162E8"/>
    <w:rsid w:val="001163F9"/>
    <w:rsid w:val="001225E0"/>
    <w:rsid w:val="00122ED8"/>
    <w:rsid w:val="00123E57"/>
    <w:rsid w:val="00126059"/>
    <w:rsid w:val="00131181"/>
    <w:rsid w:val="00137498"/>
    <w:rsid w:val="00143C92"/>
    <w:rsid w:val="001539A5"/>
    <w:rsid w:val="0015714E"/>
    <w:rsid w:val="00176DFC"/>
    <w:rsid w:val="00180026"/>
    <w:rsid w:val="001824F9"/>
    <w:rsid w:val="001849D9"/>
    <w:rsid w:val="0019043E"/>
    <w:rsid w:val="0019332F"/>
    <w:rsid w:val="00194774"/>
    <w:rsid w:val="00195E1E"/>
    <w:rsid w:val="001A1B17"/>
    <w:rsid w:val="001A4AF9"/>
    <w:rsid w:val="001B18E4"/>
    <w:rsid w:val="001B2BD8"/>
    <w:rsid w:val="001B3AAC"/>
    <w:rsid w:val="001B5206"/>
    <w:rsid w:val="001C65EE"/>
    <w:rsid w:val="001C7633"/>
    <w:rsid w:val="001D65F6"/>
    <w:rsid w:val="001E545E"/>
    <w:rsid w:val="001F441C"/>
    <w:rsid w:val="001F4764"/>
    <w:rsid w:val="001F4E6A"/>
    <w:rsid w:val="001F573B"/>
    <w:rsid w:val="002016FF"/>
    <w:rsid w:val="002072E8"/>
    <w:rsid w:val="002108C0"/>
    <w:rsid w:val="00217DE6"/>
    <w:rsid w:val="0022091B"/>
    <w:rsid w:val="00221BB5"/>
    <w:rsid w:val="002268E7"/>
    <w:rsid w:val="00226CE4"/>
    <w:rsid w:val="00227F77"/>
    <w:rsid w:val="002303CA"/>
    <w:rsid w:val="00234634"/>
    <w:rsid w:val="0023704A"/>
    <w:rsid w:val="00240E26"/>
    <w:rsid w:val="002458B9"/>
    <w:rsid w:val="00252F98"/>
    <w:rsid w:val="00255405"/>
    <w:rsid w:val="00256B4E"/>
    <w:rsid w:val="00257C8D"/>
    <w:rsid w:val="002629C2"/>
    <w:rsid w:val="00266E32"/>
    <w:rsid w:val="0027329A"/>
    <w:rsid w:val="00273A79"/>
    <w:rsid w:val="00280EE4"/>
    <w:rsid w:val="00292748"/>
    <w:rsid w:val="002946C7"/>
    <w:rsid w:val="00297707"/>
    <w:rsid w:val="00297B1D"/>
    <w:rsid w:val="002A00D4"/>
    <w:rsid w:val="002A2024"/>
    <w:rsid w:val="002B3898"/>
    <w:rsid w:val="002C6D29"/>
    <w:rsid w:val="002D2830"/>
    <w:rsid w:val="002D2D8C"/>
    <w:rsid w:val="002D6310"/>
    <w:rsid w:val="002D7DE4"/>
    <w:rsid w:val="002E18CD"/>
    <w:rsid w:val="002E2C87"/>
    <w:rsid w:val="002E34A4"/>
    <w:rsid w:val="002E3BB3"/>
    <w:rsid w:val="002E7EDB"/>
    <w:rsid w:val="002F2A0E"/>
    <w:rsid w:val="002F2E60"/>
    <w:rsid w:val="002F511D"/>
    <w:rsid w:val="002F70C8"/>
    <w:rsid w:val="003016F6"/>
    <w:rsid w:val="00303EA9"/>
    <w:rsid w:val="00305A3F"/>
    <w:rsid w:val="003076F6"/>
    <w:rsid w:val="00307FA5"/>
    <w:rsid w:val="00311FFC"/>
    <w:rsid w:val="003164E9"/>
    <w:rsid w:val="00320342"/>
    <w:rsid w:val="003216D3"/>
    <w:rsid w:val="00325DBB"/>
    <w:rsid w:val="003314E3"/>
    <w:rsid w:val="00341437"/>
    <w:rsid w:val="00342C66"/>
    <w:rsid w:val="003441E4"/>
    <w:rsid w:val="00350E69"/>
    <w:rsid w:val="0035275A"/>
    <w:rsid w:val="00355001"/>
    <w:rsid w:val="00355622"/>
    <w:rsid w:val="00364192"/>
    <w:rsid w:val="0036459E"/>
    <w:rsid w:val="00367036"/>
    <w:rsid w:val="00367755"/>
    <w:rsid w:val="00372EB4"/>
    <w:rsid w:val="00373086"/>
    <w:rsid w:val="003741E8"/>
    <w:rsid w:val="00375023"/>
    <w:rsid w:val="00380A4F"/>
    <w:rsid w:val="00386B86"/>
    <w:rsid w:val="00394958"/>
    <w:rsid w:val="00397F5A"/>
    <w:rsid w:val="003A1CE9"/>
    <w:rsid w:val="003A1D2C"/>
    <w:rsid w:val="003A1FCC"/>
    <w:rsid w:val="003A33CA"/>
    <w:rsid w:val="003B1E4C"/>
    <w:rsid w:val="003B2D5E"/>
    <w:rsid w:val="003C0B18"/>
    <w:rsid w:val="003C0FD3"/>
    <w:rsid w:val="003C30C6"/>
    <w:rsid w:val="003C70BB"/>
    <w:rsid w:val="003D690E"/>
    <w:rsid w:val="003E463C"/>
    <w:rsid w:val="003E602D"/>
    <w:rsid w:val="003F542B"/>
    <w:rsid w:val="0040587D"/>
    <w:rsid w:val="00411628"/>
    <w:rsid w:val="00412E89"/>
    <w:rsid w:val="004131AD"/>
    <w:rsid w:val="00420836"/>
    <w:rsid w:val="004226E9"/>
    <w:rsid w:val="00426F27"/>
    <w:rsid w:val="00433BB1"/>
    <w:rsid w:val="00437F90"/>
    <w:rsid w:val="004422AC"/>
    <w:rsid w:val="00444457"/>
    <w:rsid w:val="00444AB6"/>
    <w:rsid w:val="004516AB"/>
    <w:rsid w:val="00454D09"/>
    <w:rsid w:val="00455D4C"/>
    <w:rsid w:val="004601BB"/>
    <w:rsid w:val="00465920"/>
    <w:rsid w:val="00470199"/>
    <w:rsid w:val="00472F22"/>
    <w:rsid w:val="00476908"/>
    <w:rsid w:val="00480162"/>
    <w:rsid w:val="00485E27"/>
    <w:rsid w:val="00486F0E"/>
    <w:rsid w:val="00491293"/>
    <w:rsid w:val="00492788"/>
    <w:rsid w:val="00493B76"/>
    <w:rsid w:val="00493B82"/>
    <w:rsid w:val="004A08CF"/>
    <w:rsid w:val="004A57F9"/>
    <w:rsid w:val="004A592A"/>
    <w:rsid w:val="004A7FB2"/>
    <w:rsid w:val="004B2BD9"/>
    <w:rsid w:val="004B3809"/>
    <w:rsid w:val="004B573D"/>
    <w:rsid w:val="004B5D6C"/>
    <w:rsid w:val="004B6003"/>
    <w:rsid w:val="004B6C4F"/>
    <w:rsid w:val="004B71E0"/>
    <w:rsid w:val="004C03A5"/>
    <w:rsid w:val="004C15C9"/>
    <w:rsid w:val="004C3B8C"/>
    <w:rsid w:val="004C4BD5"/>
    <w:rsid w:val="004D7DF8"/>
    <w:rsid w:val="004E23B2"/>
    <w:rsid w:val="004E2A32"/>
    <w:rsid w:val="004E7BE3"/>
    <w:rsid w:val="004F2628"/>
    <w:rsid w:val="004F3654"/>
    <w:rsid w:val="004F4089"/>
    <w:rsid w:val="004F5301"/>
    <w:rsid w:val="005008F9"/>
    <w:rsid w:val="0050269A"/>
    <w:rsid w:val="005137BF"/>
    <w:rsid w:val="00517515"/>
    <w:rsid w:val="0052683E"/>
    <w:rsid w:val="00530D7A"/>
    <w:rsid w:val="00530F6A"/>
    <w:rsid w:val="005321B8"/>
    <w:rsid w:val="005337C9"/>
    <w:rsid w:val="00536394"/>
    <w:rsid w:val="005378D9"/>
    <w:rsid w:val="00542690"/>
    <w:rsid w:val="0054280D"/>
    <w:rsid w:val="0054502C"/>
    <w:rsid w:val="00547A78"/>
    <w:rsid w:val="005513A9"/>
    <w:rsid w:val="00555321"/>
    <w:rsid w:val="0056107E"/>
    <w:rsid w:val="00565CBB"/>
    <w:rsid w:val="00570556"/>
    <w:rsid w:val="0057487B"/>
    <w:rsid w:val="00574EAE"/>
    <w:rsid w:val="005772C2"/>
    <w:rsid w:val="0058271C"/>
    <w:rsid w:val="005828CB"/>
    <w:rsid w:val="005933CA"/>
    <w:rsid w:val="005A1FE1"/>
    <w:rsid w:val="005A3493"/>
    <w:rsid w:val="005A62BA"/>
    <w:rsid w:val="005A7131"/>
    <w:rsid w:val="005A768C"/>
    <w:rsid w:val="005B1C63"/>
    <w:rsid w:val="005B2685"/>
    <w:rsid w:val="005B7007"/>
    <w:rsid w:val="005D3A43"/>
    <w:rsid w:val="005D4F28"/>
    <w:rsid w:val="005D7100"/>
    <w:rsid w:val="005E4DB5"/>
    <w:rsid w:val="005F2065"/>
    <w:rsid w:val="005F3C88"/>
    <w:rsid w:val="00600DDA"/>
    <w:rsid w:val="00601608"/>
    <w:rsid w:val="00601DDE"/>
    <w:rsid w:val="006022FD"/>
    <w:rsid w:val="0060787E"/>
    <w:rsid w:val="00610650"/>
    <w:rsid w:val="00611EF0"/>
    <w:rsid w:val="00615554"/>
    <w:rsid w:val="00617BA2"/>
    <w:rsid w:val="00620DCC"/>
    <w:rsid w:val="0062481C"/>
    <w:rsid w:val="00625371"/>
    <w:rsid w:val="00626433"/>
    <w:rsid w:val="0063221F"/>
    <w:rsid w:val="0063429A"/>
    <w:rsid w:val="00636AC7"/>
    <w:rsid w:val="00637EB5"/>
    <w:rsid w:val="006453F5"/>
    <w:rsid w:val="006527B8"/>
    <w:rsid w:val="00652902"/>
    <w:rsid w:val="00654825"/>
    <w:rsid w:val="00656612"/>
    <w:rsid w:val="006629B0"/>
    <w:rsid w:val="00663DD8"/>
    <w:rsid w:val="00666387"/>
    <w:rsid w:val="00667783"/>
    <w:rsid w:val="00680025"/>
    <w:rsid w:val="00680C19"/>
    <w:rsid w:val="00681D33"/>
    <w:rsid w:val="00683492"/>
    <w:rsid w:val="0069005E"/>
    <w:rsid w:val="00691A7E"/>
    <w:rsid w:val="00696FC3"/>
    <w:rsid w:val="006A2DC5"/>
    <w:rsid w:val="006A3012"/>
    <w:rsid w:val="006A383D"/>
    <w:rsid w:val="006A7BF1"/>
    <w:rsid w:val="006B20F2"/>
    <w:rsid w:val="006B353D"/>
    <w:rsid w:val="006B53B6"/>
    <w:rsid w:val="006C5485"/>
    <w:rsid w:val="006C6349"/>
    <w:rsid w:val="006C6A4F"/>
    <w:rsid w:val="006D3B93"/>
    <w:rsid w:val="006D4867"/>
    <w:rsid w:val="006D6DFD"/>
    <w:rsid w:val="006D7ECD"/>
    <w:rsid w:val="006E0798"/>
    <w:rsid w:val="006E2D11"/>
    <w:rsid w:val="006E5282"/>
    <w:rsid w:val="006E638A"/>
    <w:rsid w:val="006F328D"/>
    <w:rsid w:val="006F652C"/>
    <w:rsid w:val="006F7898"/>
    <w:rsid w:val="006F7EC4"/>
    <w:rsid w:val="00700E6A"/>
    <w:rsid w:val="00704EF9"/>
    <w:rsid w:val="00704FC0"/>
    <w:rsid w:val="00706747"/>
    <w:rsid w:val="007132E0"/>
    <w:rsid w:val="00713404"/>
    <w:rsid w:val="00714232"/>
    <w:rsid w:val="00714710"/>
    <w:rsid w:val="007163BB"/>
    <w:rsid w:val="007170E3"/>
    <w:rsid w:val="00724F62"/>
    <w:rsid w:val="007251B8"/>
    <w:rsid w:val="0072715B"/>
    <w:rsid w:val="00730998"/>
    <w:rsid w:val="00736E0D"/>
    <w:rsid w:val="00740351"/>
    <w:rsid w:val="00740684"/>
    <w:rsid w:val="00741920"/>
    <w:rsid w:val="007514DA"/>
    <w:rsid w:val="00751DA7"/>
    <w:rsid w:val="00751F6C"/>
    <w:rsid w:val="007569B1"/>
    <w:rsid w:val="00757BD0"/>
    <w:rsid w:val="0076299C"/>
    <w:rsid w:val="00763A00"/>
    <w:rsid w:val="00764310"/>
    <w:rsid w:val="00764E57"/>
    <w:rsid w:val="00766D74"/>
    <w:rsid w:val="00773C14"/>
    <w:rsid w:val="007758F0"/>
    <w:rsid w:val="007770D9"/>
    <w:rsid w:val="00777BEB"/>
    <w:rsid w:val="00780E4F"/>
    <w:rsid w:val="00781BF8"/>
    <w:rsid w:val="007916AC"/>
    <w:rsid w:val="0079578F"/>
    <w:rsid w:val="00796414"/>
    <w:rsid w:val="00796922"/>
    <w:rsid w:val="00796EAA"/>
    <w:rsid w:val="007A516D"/>
    <w:rsid w:val="007A6080"/>
    <w:rsid w:val="007B218A"/>
    <w:rsid w:val="007B2D21"/>
    <w:rsid w:val="007B48F8"/>
    <w:rsid w:val="007B697A"/>
    <w:rsid w:val="007C189F"/>
    <w:rsid w:val="007C4163"/>
    <w:rsid w:val="007C58A6"/>
    <w:rsid w:val="007C5995"/>
    <w:rsid w:val="007D3763"/>
    <w:rsid w:val="007D7615"/>
    <w:rsid w:val="007E4303"/>
    <w:rsid w:val="007E4A99"/>
    <w:rsid w:val="007F00CF"/>
    <w:rsid w:val="007F21B5"/>
    <w:rsid w:val="007F2575"/>
    <w:rsid w:val="007F2B38"/>
    <w:rsid w:val="007F6505"/>
    <w:rsid w:val="0080347E"/>
    <w:rsid w:val="00803524"/>
    <w:rsid w:val="00806F56"/>
    <w:rsid w:val="00816EFC"/>
    <w:rsid w:val="008178E0"/>
    <w:rsid w:val="00817C7B"/>
    <w:rsid w:val="00824EB5"/>
    <w:rsid w:val="00825666"/>
    <w:rsid w:val="00825963"/>
    <w:rsid w:val="0082695B"/>
    <w:rsid w:val="00827F50"/>
    <w:rsid w:val="0083226C"/>
    <w:rsid w:val="008335E2"/>
    <w:rsid w:val="00833C78"/>
    <w:rsid w:val="00836B83"/>
    <w:rsid w:val="00842865"/>
    <w:rsid w:val="0084413D"/>
    <w:rsid w:val="00844AAA"/>
    <w:rsid w:val="00845F02"/>
    <w:rsid w:val="00851DB5"/>
    <w:rsid w:val="00855F34"/>
    <w:rsid w:val="0086200D"/>
    <w:rsid w:val="0086294C"/>
    <w:rsid w:val="00863D82"/>
    <w:rsid w:val="0087362D"/>
    <w:rsid w:val="00874205"/>
    <w:rsid w:val="0087486D"/>
    <w:rsid w:val="00875317"/>
    <w:rsid w:val="008758D7"/>
    <w:rsid w:val="00884D89"/>
    <w:rsid w:val="008951A6"/>
    <w:rsid w:val="008965C1"/>
    <w:rsid w:val="008969A3"/>
    <w:rsid w:val="008A0522"/>
    <w:rsid w:val="008A73E6"/>
    <w:rsid w:val="008A7C53"/>
    <w:rsid w:val="008B16D3"/>
    <w:rsid w:val="008B240E"/>
    <w:rsid w:val="008B4DBD"/>
    <w:rsid w:val="008C0A01"/>
    <w:rsid w:val="008D2BAD"/>
    <w:rsid w:val="008D6EC8"/>
    <w:rsid w:val="008D74D5"/>
    <w:rsid w:val="008E21C0"/>
    <w:rsid w:val="008E625C"/>
    <w:rsid w:val="008E660D"/>
    <w:rsid w:val="008F3B3E"/>
    <w:rsid w:val="008F6595"/>
    <w:rsid w:val="00915C65"/>
    <w:rsid w:val="00917B83"/>
    <w:rsid w:val="00920E3B"/>
    <w:rsid w:val="00920FC0"/>
    <w:rsid w:val="009231AA"/>
    <w:rsid w:val="00930102"/>
    <w:rsid w:val="009308F2"/>
    <w:rsid w:val="00930BBB"/>
    <w:rsid w:val="00931083"/>
    <w:rsid w:val="00931C8E"/>
    <w:rsid w:val="00931FAC"/>
    <w:rsid w:val="00933260"/>
    <w:rsid w:val="009338FF"/>
    <w:rsid w:val="0093488C"/>
    <w:rsid w:val="00936957"/>
    <w:rsid w:val="0094104A"/>
    <w:rsid w:val="00941CDB"/>
    <w:rsid w:val="00945FCD"/>
    <w:rsid w:val="00947289"/>
    <w:rsid w:val="009502D5"/>
    <w:rsid w:val="0095134B"/>
    <w:rsid w:val="009522A9"/>
    <w:rsid w:val="00955F05"/>
    <w:rsid w:val="0096188A"/>
    <w:rsid w:val="00962AFA"/>
    <w:rsid w:val="00966E6A"/>
    <w:rsid w:val="00970A29"/>
    <w:rsid w:val="00972A6C"/>
    <w:rsid w:val="0097380B"/>
    <w:rsid w:val="00977905"/>
    <w:rsid w:val="00985109"/>
    <w:rsid w:val="0098612E"/>
    <w:rsid w:val="00987CD0"/>
    <w:rsid w:val="0099126C"/>
    <w:rsid w:val="0099251A"/>
    <w:rsid w:val="009A06A1"/>
    <w:rsid w:val="009A31D4"/>
    <w:rsid w:val="009A42AF"/>
    <w:rsid w:val="009A7A89"/>
    <w:rsid w:val="009B1694"/>
    <w:rsid w:val="009B1E68"/>
    <w:rsid w:val="009B452C"/>
    <w:rsid w:val="009B702A"/>
    <w:rsid w:val="009C7D02"/>
    <w:rsid w:val="009E50D8"/>
    <w:rsid w:val="009E527C"/>
    <w:rsid w:val="009E5374"/>
    <w:rsid w:val="009F0DE3"/>
    <w:rsid w:val="009F1FA3"/>
    <w:rsid w:val="009F63DA"/>
    <w:rsid w:val="00A001C4"/>
    <w:rsid w:val="00A03C34"/>
    <w:rsid w:val="00A03FDD"/>
    <w:rsid w:val="00A05C86"/>
    <w:rsid w:val="00A11596"/>
    <w:rsid w:val="00A13D9F"/>
    <w:rsid w:val="00A16FFE"/>
    <w:rsid w:val="00A17F89"/>
    <w:rsid w:val="00A23CAF"/>
    <w:rsid w:val="00A26605"/>
    <w:rsid w:val="00A30884"/>
    <w:rsid w:val="00A32048"/>
    <w:rsid w:val="00A321DB"/>
    <w:rsid w:val="00A3423C"/>
    <w:rsid w:val="00A34D53"/>
    <w:rsid w:val="00A4017E"/>
    <w:rsid w:val="00A4097D"/>
    <w:rsid w:val="00A41A43"/>
    <w:rsid w:val="00A4333A"/>
    <w:rsid w:val="00A466E0"/>
    <w:rsid w:val="00A55BD3"/>
    <w:rsid w:val="00A57399"/>
    <w:rsid w:val="00A64185"/>
    <w:rsid w:val="00A64869"/>
    <w:rsid w:val="00A66B49"/>
    <w:rsid w:val="00A6706A"/>
    <w:rsid w:val="00A67080"/>
    <w:rsid w:val="00A7597D"/>
    <w:rsid w:val="00A761DE"/>
    <w:rsid w:val="00A80817"/>
    <w:rsid w:val="00A81263"/>
    <w:rsid w:val="00A81764"/>
    <w:rsid w:val="00A846A2"/>
    <w:rsid w:val="00A84809"/>
    <w:rsid w:val="00A85132"/>
    <w:rsid w:val="00A86A72"/>
    <w:rsid w:val="00A87089"/>
    <w:rsid w:val="00A9554F"/>
    <w:rsid w:val="00AA11EE"/>
    <w:rsid w:val="00AA237B"/>
    <w:rsid w:val="00AA283E"/>
    <w:rsid w:val="00AA7566"/>
    <w:rsid w:val="00AB5035"/>
    <w:rsid w:val="00AC0803"/>
    <w:rsid w:val="00AC7AAC"/>
    <w:rsid w:val="00AD18E2"/>
    <w:rsid w:val="00AE5F6A"/>
    <w:rsid w:val="00AF599B"/>
    <w:rsid w:val="00AF641C"/>
    <w:rsid w:val="00B00C89"/>
    <w:rsid w:val="00B07882"/>
    <w:rsid w:val="00B152B1"/>
    <w:rsid w:val="00B15933"/>
    <w:rsid w:val="00B20845"/>
    <w:rsid w:val="00B208C4"/>
    <w:rsid w:val="00B20D22"/>
    <w:rsid w:val="00B211D1"/>
    <w:rsid w:val="00B22866"/>
    <w:rsid w:val="00B23772"/>
    <w:rsid w:val="00B24568"/>
    <w:rsid w:val="00B25992"/>
    <w:rsid w:val="00B26F79"/>
    <w:rsid w:val="00B31F3B"/>
    <w:rsid w:val="00B332C8"/>
    <w:rsid w:val="00B35DEE"/>
    <w:rsid w:val="00B370B1"/>
    <w:rsid w:val="00B40D60"/>
    <w:rsid w:val="00B40E13"/>
    <w:rsid w:val="00B45F95"/>
    <w:rsid w:val="00B5056C"/>
    <w:rsid w:val="00B5413E"/>
    <w:rsid w:val="00B62B1C"/>
    <w:rsid w:val="00B64A43"/>
    <w:rsid w:val="00B67576"/>
    <w:rsid w:val="00B70B1A"/>
    <w:rsid w:val="00B71A63"/>
    <w:rsid w:val="00B76C9E"/>
    <w:rsid w:val="00B76DE4"/>
    <w:rsid w:val="00B87647"/>
    <w:rsid w:val="00B878B8"/>
    <w:rsid w:val="00B87B38"/>
    <w:rsid w:val="00B922CB"/>
    <w:rsid w:val="00B92CBA"/>
    <w:rsid w:val="00B92F31"/>
    <w:rsid w:val="00B93BCD"/>
    <w:rsid w:val="00B94DC6"/>
    <w:rsid w:val="00B954E3"/>
    <w:rsid w:val="00B9603E"/>
    <w:rsid w:val="00B9716C"/>
    <w:rsid w:val="00BA13C3"/>
    <w:rsid w:val="00BA55E4"/>
    <w:rsid w:val="00BA5674"/>
    <w:rsid w:val="00BA57A5"/>
    <w:rsid w:val="00BA7544"/>
    <w:rsid w:val="00BB040D"/>
    <w:rsid w:val="00BB0751"/>
    <w:rsid w:val="00BB3B5D"/>
    <w:rsid w:val="00BB6A65"/>
    <w:rsid w:val="00BB7165"/>
    <w:rsid w:val="00BB7A2E"/>
    <w:rsid w:val="00BB7AEC"/>
    <w:rsid w:val="00BC4096"/>
    <w:rsid w:val="00BC4AF1"/>
    <w:rsid w:val="00BC5037"/>
    <w:rsid w:val="00BD3023"/>
    <w:rsid w:val="00BD3883"/>
    <w:rsid w:val="00BD702E"/>
    <w:rsid w:val="00BE1058"/>
    <w:rsid w:val="00BE613D"/>
    <w:rsid w:val="00BE78E5"/>
    <w:rsid w:val="00C04E79"/>
    <w:rsid w:val="00C07FD0"/>
    <w:rsid w:val="00C12F35"/>
    <w:rsid w:val="00C13B8B"/>
    <w:rsid w:val="00C15710"/>
    <w:rsid w:val="00C159AC"/>
    <w:rsid w:val="00C21043"/>
    <w:rsid w:val="00C23BD9"/>
    <w:rsid w:val="00C24C65"/>
    <w:rsid w:val="00C24CC1"/>
    <w:rsid w:val="00C270D8"/>
    <w:rsid w:val="00C27B8A"/>
    <w:rsid w:val="00C307F4"/>
    <w:rsid w:val="00C313DB"/>
    <w:rsid w:val="00C34B3C"/>
    <w:rsid w:val="00C34BC2"/>
    <w:rsid w:val="00C37F0F"/>
    <w:rsid w:val="00C418B2"/>
    <w:rsid w:val="00C4290E"/>
    <w:rsid w:val="00C45A60"/>
    <w:rsid w:val="00C4704A"/>
    <w:rsid w:val="00C50D7D"/>
    <w:rsid w:val="00C5226C"/>
    <w:rsid w:val="00C562E4"/>
    <w:rsid w:val="00C57AB1"/>
    <w:rsid w:val="00C60FEE"/>
    <w:rsid w:val="00C63872"/>
    <w:rsid w:val="00C64BB1"/>
    <w:rsid w:val="00C64DCE"/>
    <w:rsid w:val="00C71643"/>
    <w:rsid w:val="00C7275B"/>
    <w:rsid w:val="00C75FC5"/>
    <w:rsid w:val="00C831F1"/>
    <w:rsid w:val="00C84C4D"/>
    <w:rsid w:val="00C93BA9"/>
    <w:rsid w:val="00CA27A0"/>
    <w:rsid w:val="00CA5CE3"/>
    <w:rsid w:val="00CA5DAF"/>
    <w:rsid w:val="00CB7397"/>
    <w:rsid w:val="00CB7D33"/>
    <w:rsid w:val="00CC14F9"/>
    <w:rsid w:val="00CC1E77"/>
    <w:rsid w:val="00CC3A15"/>
    <w:rsid w:val="00CC448E"/>
    <w:rsid w:val="00CD0679"/>
    <w:rsid w:val="00CD4FA6"/>
    <w:rsid w:val="00CE1105"/>
    <w:rsid w:val="00CE1DB8"/>
    <w:rsid w:val="00CF190D"/>
    <w:rsid w:val="00CF7A14"/>
    <w:rsid w:val="00D00ACE"/>
    <w:rsid w:val="00D0442B"/>
    <w:rsid w:val="00D07283"/>
    <w:rsid w:val="00D127FB"/>
    <w:rsid w:val="00D14D75"/>
    <w:rsid w:val="00D23578"/>
    <w:rsid w:val="00D375C4"/>
    <w:rsid w:val="00D44C17"/>
    <w:rsid w:val="00D4648B"/>
    <w:rsid w:val="00D466D2"/>
    <w:rsid w:val="00D54860"/>
    <w:rsid w:val="00D55F3C"/>
    <w:rsid w:val="00D5611E"/>
    <w:rsid w:val="00D570A4"/>
    <w:rsid w:val="00D615F0"/>
    <w:rsid w:val="00D657C8"/>
    <w:rsid w:val="00D667F7"/>
    <w:rsid w:val="00D71027"/>
    <w:rsid w:val="00D76ADE"/>
    <w:rsid w:val="00D76E26"/>
    <w:rsid w:val="00D777FE"/>
    <w:rsid w:val="00D8301F"/>
    <w:rsid w:val="00D83368"/>
    <w:rsid w:val="00D84FAA"/>
    <w:rsid w:val="00D9008F"/>
    <w:rsid w:val="00D92344"/>
    <w:rsid w:val="00DA0745"/>
    <w:rsid w:val="00DA25F8"/>
    <w:rsid w:val="00DA4FA7"/>
    <w:rsid w:val="00DA5A37"/>
    <w:rsid w:val="00DB3189"/>
    <w:rsid w:val="00DB3CAB"/>
    <w:rsid w:val="00DB432C"/>
    <w:rsid w:val="00DB4ABD"/>
    <w:rsid w:val="00DD06D7"/>
    <w:rsid w:val="00DD2A5A"/>
    <w:rsid w:val="00DD5B7E"/>
    <w:rsid w:val="00DD77E6"/>
    <w:rsid w:val="00DE31EC"/>
    <w:rsid w:val="00DE31F0"/>
    <w:rsid w:val="00DE516B"/>
    <w:rsid w:val="00DE6F77"/>
    <w:rsid w:val="00DF33CD"/>
    <w:rsid w:val="00DF3537"/>
    <w:rsid w:val="00DF516E"/>
    <w:rsid w:val="00DF52BB"/>
    <w:rsid w:val="00E03C81"/>
    <w:rsid w:val="00E078FC"/>
    <w:rsid w:val="00E11871"/>
    <w:rsid w:val="00E13783"/>
    <w:rsid w:val="00E1667E"/>
    <w:rsid w:val="00E25499"/>
    <w:rsid w:val="00E31C77"/>
    <w:rsid w:val="00E345D7"/>
    <w:rsid w:val="00E40573"/>
    <w:rsid w:val="00E405C5"/>
    <w:rsid w:val="00E41D67"/>
    <w:rsid w:val="00E452E8"/>
    <w:rsid w:val="00E460F3"/>
    <w:rsid w:val="00E46A8E"/>
    <w:rsid w:val="00E503B4"/>
    <w:rsid w:val="00E50CB3"/>
    <w:rsid w:val="00E52E08"/>
    <w:rsid w:val="00E54CFD"/>
    <w:rsid w:val="00E570D8"/>
    <w:rsid w:val="00E57AAB"/>
    <w:rsid w:val="00E64132"/>
    <w:rsid w:val="00E6639B"/>
    <w:rsid w:val="00E730F4"/>
    <w:rsid w:val="00E74FEB"/>
    <w:rsid w:val="00E75C9D"/>
    <w:rsid w:val="00E8134A"/>
    <w:rsid w:val="00E825F6"/>
    <w:rsid w:val="00EA1B2B"/>
    <w:rsid w:val="00EA2E07"/>
    <w:rsid w:val="00EB0B9A"/>
    <w:rsid w:val="00EB0BD2"/>
    <w:rsid w:val="00EB413D"/>
    <w:rsid w:val="00EC3204"/>
    <w:rsid w:val="00EC637D"/>
    <w:rsid w:val="00ED5143"/>
    <w:rsid w:val="00EE1A23"/>
    <w:rsid w:val="00EE3F08"/>
    <w:rsid w:val="00EE6E55"/>
    <w:rsid w:val="00EF3531"/>
    <w:rsid w:val="00EF43C8"/>
    <w:rsid w:val="00EF6899"/>
    <w:rsid w:val="00F005A1"/>
    <w:rsid w:val="00F007F5"/>
    <w:rsid w:val="00F009D8"/>
    <w:rsid w:val="00F11B30"/>
    <w:rsid w:val="00F130EC"/>
    <w:rsid w:val="00F13225"/>
    <w:rsid w:val="00F20C5F"/>
    <w:rsid w:val="00F239F4"/>
    <w:rsid w:val="00F25F03"/>
    <w:rsid w:val="00F26921"/>
    <w:rsid w:val="00F30424"/>
    <w:rsid w:val="00F30D46"/>
    <w:rsid w:val="00F31803"/>
    <w:rsid w:val="00F44243"/>
    <w:rsid w:val="00F44E93"/>
    <w:rsid w:val="00F567BD"/>
    <w:rsid w:val="00F60E7C"/>
    <w:rsid w:val="00F61153"/>
    <w:rsid w:val="00F6148D"/>
    <w:rsid w:val="00F617B7"/>
    <w:rsid w:val="00F64DAB"/>
    <w:rsid w:val="00F65CA0"/>
    <w:rsid w:val="00F73217"/>
    <w:rsid w:val="00F73C3A"/>
    <w:rsid w:val="00F76235"/>
    <w:rsid w:val="00F80F6C"/>
    <w:rsid w:val="00F91E38"/>
    <w:rsid w:val="00F9271E"/>
    <w:rsid w:val="00FA2F00"/>
    <w:rsid w:val="00FA6DA4"/>
    <w:rsid w:val="00FB04DC"/>
    <w:rsid w:val="00FB1163"/>
    <w:rsid w:val="00FB202A"/>
    <w:rsid w:val="00FB4B26"/>
    <w:rsid w:val="00FB4E89"/>
    <w:rsid w:val="00FC1E03"/>
    <w:rsid w:val="00FC2DFC"/>
    <w:rsid w:val="00FC3012"/>
    <w:rsid w:val="00FC4203"/>
    <w:rsid w:val="00FC7E99"/>
    <w:rsid w:val="00FC7EDC"/>
    <w:rsid w:val="00FD3C1A"/>
    <w:rsid w:val="00FD6B93"/>
    <w:rsid w:val="00FE0590"/>
    <w:rsid w:val="00FE0C98"/>
    <w:rsid w:val="00FE7F9A"/>
    <w:rsid w:val="00FF14C9"/>
    <w:rsid w:val="00FF38ED"/>
    <w:rsid w:val="00FF4AEE"/>
    <w:rsid w:val="00FF57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A99D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41369"/>
    <w:pPr>
      <w:spacing w:after="240" w:line="240" w:lineRule="auto"/>
      <w:contextualSpacing/>
      <w:jc w:val="center"/>
    </w:pPr>
    <w:rPr>
      <w:rFonts w:asciiTheme="majorHAnsi" w:eastAsiaTheme="majorEastAsia" w:hAnsiTheme="majorHAnsi" w:cstheme="majorBidi"/>
      <w:spacing w:val="5"/>
      <w:kern w:val="28"/>
      <w:sz w:val="32"/>
      <w:szCs w:val="52"/>
      <w:lang w:eastAsia="en-US"/>
    </w:rPr>
  </w:style>
  <w:style w:type="character" w:customStyle="1" w:styleId="TitleChar">
    <w:name w:val="Title Char"/>
    <w:basedOn w:val="DefaultParagraphFont"/>
    <w:link w:val="Title"/>
    <w:uiPriority w:val="10"/>
    <w:rsid w:val="00041369"/>
    <w:rPr>
      <w:rFonts w:asciiTheme="majorHAnsi" w:eastAsiaTheme="majorEastAsia" w:hAnsiTheme="majorHAnsi" w:cstheme="majorBidi"/>
      <w:spacing w:val="5"/>
      <w:kern w:val="28"/>
      <w:sz w:val="32"/>
      <w:szCs w:val="52"/>
      <w:lang w:eastAsia="en-US"/>
    </w:rPr>
  </w:style>
  <w:style w:type="table" w:styleId="TableGrid">
    <w:name w:val="Table Grid"/>
    <w:basedOn w:val="TableNormal"/>
    <w:uiPriority w:val="59"/>
    <w:rsid w:val="009F0D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7B697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B697A"/>
    <w:rPr>
      <w:sz w:val="20"/>
      <w:szCs w:val="20"/>
    </w:rPr>
  </w:style>
  <w:style w:type="character" w:styleId="FootnoteReference">
    <w:name w:val="footnote reference"/>
    <w:basedOn w:val="DefaultParagraphFont"/>
    <w:uiPriority w:val="99"/>
    <w:semiHidden/>
    <w:unhideWhenUsed/>
    <w:rsid w:val="007B697A"/>
    <w:rPr>
      <w:vertAlign w:val="superscript"/>
    </w:rPr>
  </w:style>
  <w:style w:type="character" w:styleId="PlaceholderText">
    <w:name w:val="Placeholder Text"/>
    <w:basedOn w:val="DefaultParagraphFont"/>
    <w:uiPriority w:val="99"/>
    <w:semiHidden/>
    <w:rsid w:val="008A73E6"/>
    <w:rPr>
      <w:color w:val="808080"/>
    </w:rPr>
  </w:style>
  <w:style w:type="paragraph" w:styleId="BalloonText">
    <w:name w:val="Balloon Text"/>
    <w:basedOn w:val="Normal"/>
    <w:link w:val="BalloonTextChar"/>
    <w:uiPriority w:val="99"/>
    <w:semiHidden/>
    <w:unhideWhenUsed/>
    <w:rsid w:val="008A73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73E6"/>
    <w:rPr>
      <w:rFonts w:ascii="Tahoma" w:hAnsi="Tahoma" w:cs="Tahoma"/>
      <w:sz w:val="16"/>
      <w:szCs w:val="16"/>
    </w:rPr>
  </w:style>
  <w:style w:type="table" w:styleId="LightShading-Accent1">
    <w:name w:val="Light Shading Accent 1"/>
    <w:basedOn w:val="TableNormal"/>
    <w:uiPriority w:val="60"/>
    <w:rsid w:val="00B92F31"/>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1">
    <w:name w:val="Light List Accent 1"/>
    <w:basedOn w:val="TableNormal"/>
    <w:uiPriority w:val="61"/>
    <w:rsid w:val="00FB4B26"/>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FB4B26"/>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
    <w:name w:val="Light List"/>
    <w:basedOn w:val="TableNormal"/>
    <w:uiPriority w:val="61"/>
    <w:rsid w:val="0065290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Hyperlink">
    <w:name w:val="Hyperlink"/>
    <w:basedOn w:val="DefaultParagraphFont"/>
    <w:uiPriority w:val="99"/>
    <w:unhideWhenUsed/>
    <w:rsid w:val="00221BB5"/>
    <w:rPr>
      <w:color w:val="0000FF" w:themeColor="hyperlink"/>
      <w:u w:val="single"/>
    </w:rPr>
  </w:style>
  <w:style w:type="character" w:styleId="FollowedHyperlink">
    <w:name w:val="FollowedHyperlink"/>
    <w:basedOn w:val="DefaultParagraphFont"/>
    <w:uiPriority w:val="99"/>
    <w:semiHidden/>
    <w:unhideWhenUsed/>
    <w:rsid w:val="00833C78"/>
    <w:rPr>
      <w:color w:val="800080" w:themeColor="followedHyperlink"/>
      <w:u w:val="single"/>
    </w:rPr>
  </w:style>
  <w:style w:type="paragraph" w:styleId="Header">
    <w:name w:val="header"/>
    <w:basedOn w:val="Normal"/>
    <w:link w:val="HeaderChar"/>
    <w:uiPriority w:val="99"/>
    <w:unhideWhenUsed/>
    <w:rsid w:val="00394958"/>
    <w:pPr>
      <w:tabs>
        <w:tab w:val="center" w:pos="4320"/>
        <w:tab w:val="right" w:pos="8640"/>
      </w:tabs>
      <w:spacing w:after="0" w:line="240" w:lineRule="auto"/>
    </w:pPr>
  </w:style>
  <w:style w:type="character" w:customStyle="1" w:styleId="HeaderChar">
    <w:name w:val="Header Char"/>
    <w:basedOn w:val="DefaultParagraphFont"/>
    <w:link w:val="Header"/>
    <w:uiPriority w:val="99"/>
    <w:rsid w:val="00394958"/>
  </w:style>
  <w:style w:type="paragraph" w:styleId="Footer">
    <w:name w:val="footer"/>
    <w:basedOn w:val="Normal"/>
    <w:link w:val="FooterChar"/>
    <w:uiPriority w:val="99"/>
    <w:unhideWhenUsed/>
    <w:rsid w:val="00394958"/>
    <w:pPr>
      <w:tabs>
        <w:tab w:val="center" w:pos="4320"/>
        <w:tab w:val="right" w:pos="8640"/>
      </w:tabs>
      <w:spacing w:after="0" w:line="240" w:lineRule="auto"/>
    </w:pPr>
  </w:style>
  <w:style w:type="character" w:customStyle="1" w:styleId="FooterChar">
    <w:name w:val="Footer Char"/>
    <w:basedOn w:val="DefaultParagraphFont"/>
    <w:link w:val="Footer"/>
    <w:uiPriority w:val="99"/>
    <w:rsid w:val="00394958"/>
  </w:style>
  <w:style w:type="paragraph" w:styleId="ListParagraph">
    <w:name w:val="List Paragraph"/>
    <w:basedOn w:val="Normal"/>
    <w:uiPriority w:val="34"/>
    <w:qFormat/>
    <w:rsid w:val="00100ECC"/>
    <w:pPr>
      <w:ind w:left="720"/>
      <w:contextualSpacing/>
    </w:pPr>
  </w:style>
  <w:style w:type="character" w:styleId="CommentReference">
    <w:name w:val="annotation reference"/>
    <w:basedOn w:val="DefaultParagraphFont"/>
    <w:uiPriority w:val="99"/>
    <w:semiHidden/>
    <w:unhideWhenUsed/>
    <w:rsid w:val="00625371"/>
    <w:rPr>
      <w:sz w:val="16"/>
      <w:szCs w:val="16"/>
    </w:rPr>
  </w:style>
  <w:style w:type="paragraph" w:styleId="CommentText">
    <w:name w:val="annotation text"/>
    <w:basedOn w:val="Normal"/>
    <w:link w:val="CommentTextChar"/>
    <w:uiPriority w:val="99"/>
    <w:unhideWhenUsed/>
    <w:rsid w:val="00625371"/>
    <w:pPr>
      <w:spacing w:line="240" w:lineRule="auto"/>
    </w:pPr>
    <w:rPr>
      <w:sz w:val="20"/>
      <w:szCs w:val="20"/>
    </w:rPr>
  </w:style>
  <w:style w:type="character" w:customStyle="1" w:styleId="CommentTextChar">
    <w:name w:val="Comment Text Char"/>
    <w:basedOn w:val="DefaultParagraphFont"/>
    <w:link w:val="CommentText"/>
    <w:uiPriority w:val="99"/>
    <w:rsid w:val="00625371"/>
    <w:rPr>
      <w:sz w:val="20"/>
      <w:szCs w:val="20"/>
    </w:rPr>
  </w:style>
  <w:style w:type="paragraph" w:styleId="CommentSubject">
    <w:name w:val="annotation subject"/>
    <w:basedOn w:val="CommentText"/>
    <w:next w:val="CommentText"/>
    <w:link w:val="CommentSubjectChar"/>
    <w:uiPriority w:val="99"/>
    <w:semiHidden/>
    <w:unhideWhenUsed/>
    <w:rsid w:val="00625371"/>
    <w:rPr>
      <w:b/>
      <w:bCs/>
    </w:rPr>
  </w:style>
  <w:style w:type="character" w:customStyle="1" w:styleId="CommentSubjectChar">
    <w:name w:val="Comment Subject Char"/>
    <w:basedOn w:val="CommentTextChar"/>
    <w:link w:val="CommentSubject"/>
    <w:uiPriority w:val="99"/>
    <w:semiHidden/>
    <w:rsid w:val="00625371"/>
    <w:rPr>
      <w:b/>
      <w:bCs/>
      <w:sz w:val="20"/>
      <w:szCs w:val="20"/>
    </w:rPr>
  </w:style>
  <w:style w:type="paragraph" w:styleId="Revision">
    <w:name w:val="Revision"/>
    <w:hidden/>
    <w:uiPriority w:val="99"/>
    <w:semiHidden/>
    <w:rsid w:val="007F00CF"/>
    <w:pPr>
      <w:spacing w:after="0" w:line="240" w:lineRule="auto"/>
    </w:pPr>
  </w:style>
  <w:style w:type="paragraph" w:styleId="Caption">
    <w:name w:val="caption"/>
    <w:basedOn w:val="Normal"/>
    <w:next w:val="Normal"/>
    <w:uiPriority w:val="35"/>
    <w:unhideWhenUsed/>
    <w:qFormat/>
    <w:rsid w:val="002268E7"/>
    <w:pPr>
      <w:spacing w:line="240" w:lineRule="auto"/>
    </w:pPr>
    <w:rPr>
      <w:i/>
      <w:iCs/>
      <w:color w:val="1F497D" w:themeColor="text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41369"/>
    <w:pPr>
      <w:spacing w:after="240" w:line="240" w:lineRule="auto"/>
      <w:contextualSpacing/>
      <w:jc w:val="center"/>
    </w:pPr>
    <w:rPr>
      <w:rFonts w:asciiTheme="majorHAnsi" w:eastAsiaTheme="majorEastAsia" w:hAnsiTheme="majorHAnsi" w:cstheme="majorBidi"/>
      <w:spacing w:val="5"/>
      <w:kern w:val="28"/>
      <w:sz w:val="32"/>
      <w:szCs w:val="52"/>
      <w:lang w:eastAsia="en-US"/>
    </w:rPr>
  </w:style>
  <w:style w:type="character" w:customStyle="1" w:styleId="TitleChar">
    <w:name w:val="Title Char"/>
    <w:basedOn w:val="DefaultParagraphFont"/>
    <w:link w:val="Title"/>
    <w:uiPriority w:val="10"/>
    <w:rsid w:val="00041369"/>
    <w:rPr>
      <w:rFonts w:asciiTheme="majorHAnsi" w:eastAsiaTheme="majorEastAsia" w:hAnsiTheme="majorHAnsi" w:cstheme="majorBidi"/>
      <w:spacing w:val="5"/>
      <w:kern w:val="28"/>
      <w:sz w:val="32"/>
      <w:szCs w:val="52"/>
      <w:lang w:eastAsia="en-US"/>
    </w:rPr>
  </w:style>
  <w:style w:type="table" w:styleId="TableGrid">
    <w:name w:val="Table Grid"/>
    <w:basedOn w:val="TableNormal"/>
    <w:uiPriority w:val="59"/>
    <w:rsid w:val="009F0D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7B697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B697A"/>
    <w:rPr>
      <w:sz w:val="20"/>
      <w:szCs w:val="20"/>
    </w:rPr>
  </w:style>
  <w:style w:type="character" w:styleId="FootnoteReference">
    <w:name w:val="footnote reference"/>
    <w:basedOn w:val="DefaultParagraphFont"/>
    <w:uiPriority w:val="99"/>
    <w:semiHidden/>
    <w:unhideWhenUsed/>
    <w:rsid w:val="007B697A"/>
    <w:rPr>
      <w:vertAlign w:val="superscript"/>
    </w:rPr>
  </w:style>
  <w:style w:type="character" w:styleId="PlaceholderText">
    <w:name w:val="Placeholder Text"/>
    <w:basedOn w:val="DefaultParagraphFont"/>
    <w:uiPriority w:val="99"/>
    <w:semiHidden/>
    <w:rsid w:val="008A73E6"/>
    <w:rPr>
      <w:color w:val="808080"/>
    </w:rPr>
  </w:style>
  <w:style w:type="paragraph" w:styleId="BalloonText">
    <w:name w:val="Balloon Text"/>
    <w:basedOn w:val="Normal"/>
    <w:link w:val="BalloonTextChar"/>
    <w:uiPriority w:val="99"/>
    <w:semiHidden/>
    <w:unhideWhenUsed/>
    <w:rsid w:val="008A73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73E6"/>
    <w:rPr>
      <w:rFonts w:ascii="Tahoma" w:hAnsi="Tahoma" w:cs="Tahoma"/>
      <w:sz w:val="16"/>
      <w:szCs w:val="16"/>
    </w:rPr>
  </w:style>
  <w:style w:type="table" w:styleId="LightShading-Accent1">
    <w:name w:val="Light Shading Accent 1"/>
    <w:basedOn w:val="TableNormal"/>
    <w:uiPriority w:val="60"/>
    <w:rsid w:val="00B92F31"/>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1">
    <w:name w:val="Light List Accent 1"/>
    <w:basedOn w:val="TableNormal"/>
    <w:uiPriority w:val="61"/>
    <w:rsid w:val="00FB4B26"/>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FB4B26"/>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
    <w:name w:val="Light List"/>
    <w:basedOn w:val="TableNormal"/>
    <w:uiPriority w:val="61"/>
    <w:rsid w:val="0065290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Hyperlink">
    <w:name w:val="Hyperlink"/>
    <w:basedOn w:val="DefaultParagraphFont"/>
    <w:uiPriority w:val="99"/>
    <w:unhideWhenUsed/>
    <w:rsid w:val="00221BB5"/>
    <w:rPr>
      <w:color w:val="0000FF" w:themeColor="hyperlink"/>
      <w:u w:val="single"/>
    </w:rPr>
  </w:style>
  <w:style w:type="character" w:styleId="FollowedHyperlink">
    <w:name w:val="FollowedHyperlink"/>
    <w:basedOn w:val="DefaultParagraphFont"/>
    <w:uiPriority w:val="99"/>
    <w:semiHidden/>
    <w:unhideWhenUsed/>
    <w:rsid w:val="00833C78"/>
    <w:rPr>
      <w:color w:val="800080" w:themeColor="followedHyperlink"/>
      <w:u w:val="single"/>
    </w:rPr>
  </w:style>
  <w:style w:type="paragraph" w:styleId="Header">
    <w:name w:val="header"/>
    <w:basedOn w:val="Normal"/>
    <w:link w:val="HeaderChar"/>
    <w:uiPriority w:val="99"/>
    <w:unhideWhenUsed/>
    <w:rsid w:val="00394958"/>
    <w:pPr>
      <w:tabs>
        <w:tab w:val="center" w:pos="4320"/>
        <w:tab w:val="right" w:pos="8640"/>
      </w:tabs>
      <w:spacing w:after="0" w:line="240" w:lineRule="auto"/>
    </w:pPr>
  </w:style>
  <w:style w:type="character" w:customStyle="1" w:styleId="HeaderChar">
    <w:name w:val="Header Char"/>
    <w:basedOn w:val="DefaultParagraphFont"/>
    <w:link w:val="Header"/>
    <w:uiPriority w:val="99"/>
    <w:rsid w:val="00394958"/>
  </w:style>
  <w:style w:type="paragraph" w:styleId="Footer">
    <w:name w:val="footer"/>
    <w:basedOn w:val="Normal"/>
    <w:link w:val="FooterChar"/>
    <w:uiPriority w:val="99"/>
    <w:unhideWhenUsed/>
    <w:rsid w:val="00394958"/>
    <w:pPr>
      <w:tabs>
        <w:tab w:val="center" w:pos="4320"/>
        <w:tab w:val="right" w:pos="8640"/>
      </w:tabs>
      <w:spacing w:after="0" w:line="240" w:lineRule="auto"/>
    </w:pPr>
  </w:style>
  <w:style w:type="character" w:customStyle="1" w:styleId="FooterChar">
    <w:name w:val="Footer Char"/>
    <w:basedOn w:val="DefaultParagraphFont"/>
    <w:link w:val="Footer"/>
    <w:uiPriority w:val="99"/>
    <w:rsid w:val="00394958"/>
  </w:style>
  <w:style w:type="paragraph" w:styleId="ListParagraph">
    <w:name w:val="List Paragraph"/>
    <w:basedOn w:val="Normal"/>
    <w:uiPriority w:val="34"/>
    <w:qFormat/>
    <w:rsid w:val="00100ECC"/>
    <w:pPr>
      <w:ind w:left="720"/>
      <w:contextualSpacing/>
    </w:pPr>
  </w:style>
  <w:style w:type="character" w:styleId="CommentReference">
    <w:name w:val="annotation reference"/>
    <w:basedOn w:val="DefaultParagraphFont"/>
    <w:uiPriority w:val="99"/>
    <w:semiHidden/>
    <w:unhideWhenUsed/>
    <w:rsid w:val="00625371"/>
    <w:rPr>
      <w:sz w:val="16"/>
      <w:szCs w:val="16"/>
    </w:rPr>
  </w:style>
  <w:style w:type="paragraph" w:styleId="CommentText">
    <w:name w:val="annotation text"/>
    <w:basedOn w:val="Normal"/>
    <w:link w:val="CommentTextChar"/>
    <w:uiPriority w:val="99"/>
    <w:unhideWhenUsed/>
    <w:rsid w:val="00625371"/>
    <w:pPr>
      <w:spacing w:line="240" w:lineRule="auto"/>
    </w:pPr>
    <w:rPr>
      <w:sz w:val="20"/>
      <w:szCs w:val="20"/>
    </w:rPr>
  </w:style>
  <w:style w:type="character" w:customStyle="1" w:styleId="CommentTextChar">
    <w:name w:val="Comment Text Char"/>
    <w:basedOn w:val="DefaultParagraphFont"/>
    <w:link w:val="CommentText"/>
    <w:uiPriority w:val="99"/>
    <w:rsid w:val="00625371"/>
    <w:rPr>
      <w:sz w:val="20"/>
      <w:szCs w:val="20"/>
    </w:rPr>
  </w:style>
  <w:style w:type="paragraph" w:styleId="CommentSubject">
    <w:name w:val="annotation subject"/>
    <w:basedOn w:val="CommentText"/>
    <w:next w:val="CommentText"/>
    <w:link w:val="CommentSubjectChar"/>
    <w:uiPriority w:val="99"/>
    <w:semiHidden/>
    <w:unhideWhenUsed/>
    <w:rsid w:val="00625371"/>
    <w:rPr>
      <w:b/>
      <w:bCs/>
    </w:rPr>
  </w:style>
  <w:style w:type="character" w:customStyle="1" w:styleId="CommentSubjectChar">
    <w:name w:val="Comment Subject Char"/>
    <w:basedOn w:val="CommentTextChar"/>
    <w:link w:val="CommentSubject"/>
    <w:uiPriority w:val="99"/>
    <w:semiHidden/>
    <w:rsid w:val="00625371"/>
    <w:rPr>
      <w:b/>
      <w:bCs/>
      <w:sz w:val="20"/>
      <w:szCs w:val="20"/>
    </w:rPr>
  </w:style>
  <w:style w:type="paragraph" w:styleId="Revision">
    <w:name w:val="Revision"/>
    <w:hidden/>
    <w:uiPriority w:val="99"/>
    <w:semiHidden/>
    <w:rsid w:val="007F00CF"/>
    <w:pPr>
      <w:spacing w:after="0" w:line="240" w:lineRule="auto"/>
    </w:pPr>
  </w:style>
  <w:style w:type="paragraph" w:styleId="Caption">
    <w:name w:val="caption"/>
    <w:basedOn w:val="Normal"/>
    <w:next w:val="Normal"/>
    <w:uiPriority w:val="35"/>
    <w:unhideWhenUsed/>
    <w:qFormat/>
    <w:rsid w:val="002268E7"/>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09663">
      <w:bodyDiv w:val="1"/>
      <w:marLeft w:val="0"/>
      <w:marRight w:val="0"/>
      <w:marTop w:val="0"/>
      <w:marBottom w:val="0"/>
      <w:divBdr>
        <w:top w:val="none" w:sz="0" w:space="0" w:color="auto"/>
        <w:left w:val="none" w:sz="0" w:space="0" w:color="auto"/>
        <w:bottom w:val="none" w:sz="0" w:space="0" w:color="auto"/>
        <w:right w:val="none" w:sz="0" w:space="0" w:color="auto"/>
      </w:divBdr>
      <w:divsChild>
        <w:div w:id="174686008">
          <w:marLeft w:val="0"/>
          <w:marRight w:val="0"/>
          <w:marTop w:val="0"/>
          <w:marBottom w:val="0"/>
          <w:divBdr>
            <w:top w:val="none" w:sz="0" w:space="0" w:color="auto"/>
            <w:left w:val="none" w:sz="0" w:space="0" w:color="auto"/>
            <w:bottom w:val="single" w:sz="6" w:space="3" w:color="D0D4D7"/>
            <w:right w:val="none" w:sz="0" w:space="0" w:color="auto"/>
          </w:divBdr>
          <w:divsChild>
            <w:div w:id="1357458939">
              <w:marLeft w:val="0"/>
              <w:marRight w:val="0"/>
              <w:marTop w:val="60"/>
              <w:marBottom w:val="0"/>
              <w:divBdr>
                <w:top w:val="single" w:sz="6" w:space="2" w:color="6A7780"/>
                <w:left w:val="single" w:sz="6" w:space="5" w:color="6A7780"/>
                <w:bottom w:val="single" w:sz="6" w:space="2" w:color="6A7780"/>
                <w:right w:val="single" w:sz="6" w:space="5" w:color="6A7780"/>
              </w:divBdr>
            </w:div>
          </w:divsChild>
        </w:div>
      </w:divsChild>
    </w:div>
    <w:div w:id="27680076">
      <w:bodyDiv w:val="1"/>
      <w:marLeft w:val="0"/>
      <w:marRight w:val="0"/>
      <w:marTop w:val="0"/>
      <w:marBottom w:val="0"/>
      <w:divBdr>
        <w:top w:val="none" w:sz="0" w:space="0" w:color="auto"/>
        <w:left w:val="none" w:sz="0" w:space="0" w:color="auto"/>
        <w:bottom w:val="none" w:sz="0" w:space="0" w:color="auto"/>
        <w:right w:val="none" w:sz="0" w:space="0" w:color="auto"/>
      </w:divBdr>
      <w:divsChild>
        <w:div w:id="824784950">
          <w:marLeft w:val="0"/>
          <w:marRight w:val="0"/>
          <w:marTop w:val="0"/>
          <w:marBottom w:val="0"/>
          <w:divBdr>
            <w:top w:val="none" w:sz="0" w:space="0" w:color="auto"/>
            <w:left w:val="none" w:sz="0" w:space="0" w:color="auto"/>
            <w:bottom w:val="single" w:sz="6" w:space="3" w:color="D0D4D7"/>
            <w:right w:val="none" w:sz="0" w:space="0" w:color="auto"/>
          </w:divBdr>
          <w:divsChild>
            <w:div w:id="444927482">
              <w:marLeft w:val="0"/>
              <w:marRight w:val="0"/>
              <w:marTop w:val="60"/>
              <w:marBottom w:val="0"/>
              <w:divBdr>
                <w:top w:val="single" w:sz="6" w:space="2" w:color="6A7780"/>
                <w:left w:val="single" w:sz="6" w:space="5" w:color="6A7780"/>
                <w:bottom w:val="single" w:sz="6" w:space="2" w:color="6A7780"/>
                <w:right w:val="single" w:sz="6" w:space="5" w:color="6A7780"/>
              </w:divBdr>
            </w:div>
          </w:divsChild>
        </w:div>
      </w:divsChild>
    </w:div>
    <w:div w:id="57049037">
      <w:bodyDiv w:val="1"/>
      <w:marLeft w:val="0"/>
      <w:marRight w:val="0"/>
      <w:marTop w:val="0"/>
      <w:marBottom w:val="0"/>
      <w:divBdr>
        <w:top w:val="none" w:sz="0" w:space="0" w:color="auto"/>
        <w:left w:val="none" w:sz="0" w:space="0" w:color="auto"/>
        <w:bottom w:val="none" w:sz="0" w:space="0" w:color="auto"/>
        <w:right w:val="none" w:sz="0" w:space="0" w:color="auto"/>
      </w:divBdr>
    </w:div>
    <w:div w:id="90318131">
      <w:bodyDiv w:val="1"/>
      <w:marLeft w:val="0"/>
      <w:marRight w:val="0"/>
      <w:marTop w:val="0"/>
      <w:marBottom w:val="0"/>
      <w:divBdr>
        <w:top w:val="none" w:sz="0" w:space="0" w:color="auto"/>
        <w:left w:val="none" w:sz="0" w:space="0" w:color="auto"/>
        <w:bottom w:val="none" w:sz="0" w:space="0" w:color="auto"/>
        <w:right w:val="none" w:sz="0" w:space="0" w:color="auto"/>
      </w:divBdr>
    </w:div>
    <w:div w:id="129906198">
      <w:bodyDiv w:val="1"/>
      <w:marLeft w:val="0"/>
      <w:marRight w:val="0"/>
      <w:marTop w:val="0"/>
      <w:marBottom w:val="0"/>
      <w:divBdr>
        <w:top w:val="none" w:sz="0" w:space="0" w:color="auto"/>
        <w:left w:val="none" w:sz="0" w:space="0" w:color="auto"/>
        <w:bottom w:val="none" w:sz="0" w:space="0" w:color="auto"/>
        <w:right w:val="none" w:sz="0" w:space="0" w:color="auto"/>
      </w:divBdr>
    </w:div>
    <w:div w:id="166138036">
      <w:bodyDiv w:val="1"/>
      <w:marLeft w:val="0"/>
      <w:marRight w:val="0"/>
      <w:marTop w:val="0"/>
      <w:marBottom w:val="0"/>
      <w:divBdr>
        <w:top w:val="none" w:sz="0" w:space="0" w:color="auto"/>
        <w:left w:val="none" w:sz="0" w:space="0" w:color="auto"/>
        <w:bottom w:val="none" w:sz="0" w:space="0" w:color="auto"/>
        <w:right w:val="none" w:sz="0" w:space="0" w:color="auto"/>
      </w:divBdr>
    </w:div>
    <w:div w:id="196431656">
      <w:bodyDiv w:val="1"/>
      <w:marLeft w:val="0"/>
      <w:marRight w:val="0"/>
      <w:marTop w:val="0"/>
      <w:marBottom w:val="0"/>
      <w:divBdr>
        <w:top w:val="none" w:sz="0" w:space="0" w:color="auto"/>
        <w:left w:val="none" w:sz="0" w:space="0" w:color="auto"/>
        <w:bottom w:val="none" w:sz="0" w:space="0" w:color="auto"/>
        <w:right w:val="none" w:sz="0" w:space="0" w:color="auto"/>
      </w:divBdr>
      <w:divsChild>
        <w:div w:id="1141194094">
          <w:marLeft w:val="0"/>
          <w:marRight w:val="0"/>
          <w:marTop w:val="0"/>
          <w:marBottom w:val="0"/>
          <w:divBdr>
            <w:top w:val="none" w:sz="0" w:space="0" w:color="auto"/>
            <w:left w:val="none" w:sz="0" w:space="0" w:color="auto"/>
            <w:bottom w:val="single" w:sz="6" w:space="3" w:color="D0D4D7"/>
            <w:right w:val="none" w:sz="0" w:space="0" w:color="auto"/>
          </w:divBdr>
          <w:divsChild>
            <w:div w:id="745957245">
              <w:marLeft w:val="0"/>
              <w:marRight w:val="0"/>
              <w:marTop w:val="60"/>
              <w:marBottom w:val="0"/>
              <w:divBdr>
                <w:top w:val="single" w:sz="6" w:space="2" w:color="6A7780"/>
                <w:left w:val="single" w:sz="6" w:space="5" w:color="6A7780"/>
                <w:bottom w:val="single" w:sz="6" w:space="2" w:color="6A7780"/>
                <w:right w:val="single" w:sz="6" w:space="5" w:color="6A7780"/>
              </w:divBdr>
            </w:div>
          </w:divsChild>
        </w:div>
      </w:divsChild>
    </w:div>
    <w:div w:id="223372150">
      <w:bodyDiv w:val="1"/>
      <w:marLeft w:val="0"/>
      <w:marRight w:val="0"/>
      <w:marTop w:val="0"/>
      <w:marBottom w:val="0"/>
      <w:divBdr>
        <w:top w:val="none" w:sz="0" w:space="0" w:color="auto"/>
        <w:left w:val="none" w:sz="0" w:space="0" w:color="auto"/>
        <w:bottom w:val="none" w:sz="0" w:space="0" w:color="auto"/>
        <w:right w:val="none" w:sz="0" w:space="0" w:color="auto"/>
      </w:divBdr>
    </w:div>
    <w:div w:id="285477507">
      <w:bodyDiv w:val="1"/>
      <w:marLeft w:val="0"/>
      <w:marRight w:val="0"/>
      <w:marTop w:val="0"/>
      <w:marBottom w:val="0"/>
      <w:divBdr>
        <w:top w:val="none" w:sz="0" w:space="0" w:color="auto"/>
        <w:left w:val="none" w:sz="0" w:space="0" w:color="auto"/>
        <w:bottom w:val="none" w:sz="0" w:space="0" w:color="auto"/>
        <w:right w:val="none" w:sz="0" w:space="0" w:color="auto"/>
      </w:divBdr>
    </w:div>
    <w:div w:id="288559557">
      <w:bodyDiv w:val="1"/>
      <w:marLeft w:val="0"/>
      <w:marRight w:val="0"/>
      <w:marTop w:val="0"/>
      <w:marBottom w:val="0"/>
      <w:divBdr>
        <w:top w:val="none" w:sz="0" w:space="0" w:color="auto"/>
        <w:left w:val="none" w:sz="0" w:space="0" w:color="auto"/>
        <w:bottom w:val="none" w:sz="0" w:space="0" w:color="auto"/>
        <w:right w:val="none" w:sz="0" w:space="0" w:color="auto"/>
      </w:divBdr>
      <w:divsChild>
        <w:div w:id="155149757">
          <w:marLeft w:val="0"/>
          <w:marRight w:val="0"/>
          <w:marTop w:val="0"/>
          <w:marBottom w:val="0"/>
          <w:divBdr>
            <w:top w:val="none" w:sz="0" w:space="0" w:color="auto"/>
            <w:left w:val="none" w:sz="0" w:space="0" w:color="auto"/>
            <w:bottom w:val="none" w:sz="0" w:space="0" w:color="auto"/>
            <w:right w:val="none" w:sz="0" w:space="0" w:color="auto"/>
          </w:divBdr>
        </w:div>
        <w:div w:id="495220488">
          <w:marLeft w:val="0"/>
          <w:marRight w:val="0"/>
          <w:marTop w:val="0"/>
          <w:marBottom w:val="0"/>
          <w:divBdr>
            <w:top w:val="none" w:sz="0" w:space="0" w:color="auto"/>
            <w:left w:val="none" w:sz="0" w:space="0" w:color="auto"/>
            <w:bottom w:val="none" w:sz="0" w:space="0" w:color="auto"/>
            <w:right w:val="none" w:sz="0" w:space="0" w:color="auto"/>
          </w:divBdr>
        </w:div>
        <w:div w:id="616259653">
          <w:marLeft w:val="0"/>
          <w:marRight w:val="0"/>
          <w:marTop w:val="0"/>
          <w:marBottom w:val="0"/>
          <w:divBdr>
            <w:top w:val="none" w:sz="0" w:space="0" w:color="auto"/>
            <w:left w:val="none" w:sz="0" w:space="0" w:color="auto"/>
            <w:bottom w:val="none" w:sz="0" w:space="0" w:color="auto"/>
            <w:right w:val="none" w:sz="0" w:space="0" w:color="auto"/>
          </w:divBdr>
        </w:div>
        <w:div w:id="637612683">
          <w:marLeft w:val="0"/>
          <w:marRight w:val="0"/>
          <w:marTop w:val="0"/>
          <w:marBottom w:val="0"/>
          <w:divBdr>
            <w:top w:val="none" w:sz="0" w:space="0" w:color="auto"/>
            <w:left w:val="none" w:sz="0" w:space="0" w:color="auto"/>
            <w:bottom w:val="none" w:sz="0" w:space="0" w:color="auto"/>
            <w:right w:val="none" w:sz="0" w:space="0" w:color="auto"/>
          </w:divBdr>
        </w:div>
        <w:div w:id="663242844">
          <w:marLeft w:val="0"/>
          <w:marRight w:val="0"/>
          <w:marTop w:val="0"/>
          <w:marBottom w:val="0"/>
          <w:divBdr>
            <w:top w:val="none" w:sz="0" w:space="0" w:color="auto"/>
            <w:left w:val="none" w:sz="0" w:space="0" w:color="auto"/>
            <w:bottom w:val="none" w:sz="0" w:space="0" w:color="auto"/>
            <w:right w:val="none" w:sz="0" w:space="0" w:color="auto"/>
          </w:divBdr>
        </w:div>
        <w:div w:id="979459508">
          <w:marLeft w:val="0"/>
          <w:marRight w:val="0"/>
          <w:marTop w:val="0"/>
          <w:marBottom w:val="0"/>
          <w:divBdr>
            <w:top w:val="none" w:sz="0" w:space="0" w:color="auto"/>
            <w:left w:val="none" w:sz="0" w:space="0" w:color="auto"/>
            <w:bottom w:val="none" w:sz="0" w:space="0" w:color="auto"/>
            <w:right w:val="none" w:sz="0" w:space="0" w:color="auto"/>
          </w:divBdr>
        </w:div>
        <w:div w:id="1266575677">
          <w:marLeft w:val="0"/>
          <w:marRight w:val="0"/>
          <w:marTop w:val="0"/>
          <w:marBottom w:val="0"/>
          <w:divBdr>
            <w:top w:val="none" w:sz="0" w:space="0" w:color="auto"/>
            <w:left w:val="none" w:sz="0" w:space="0" w:color="auto"/>
            <w:bottom w:val="none" w:sz="0" w:space="0" w:color="auto"/>
            <w:right w:val="none" w:sz="0" w:space="0" w:color="auto"/>
          </w:divBdr>
        </w:div>
        <w:div w:id="1586036816">
          <w:marLeft w:val="0"/>
          <w:marRight w:val="0"/>
          <w:marTop w:val="0"/>
          <w:marBottom w:val="0"/>
          <w:divBdr>
            <w:top w:val="none" w:sz="0" w:space="0" w:color="auto"/>
            <w:left w:val="none" w:sz="0" w:space="0" w:color="auto"/>
            <w:bottom w:val="none" w:sz="0" w:space="0" w:color="auto"/>
            <w:right w:val="none" w:sz="0" w:space="0" w:color="auto"/>
          </w:divBdr>
        </w:div>
        <w:div w:id="1836920290">
          <w:marLeft w:val="0"/>
          <w:marRight w:val="0"/>
          <w:marTop w:val="0"/>
          <w:marBottom w:val="0"/>
          <w:divBdr>
            <w:top w:val="none" w:sz="0" w:space="0" w:color="auto"/>
            <w:left w:val="none" w:sz="0" w:space="0" w:color="auto"/>
            <w:bottom w:val="none" w:sz="0" w:space="0" w:color="auto"/>
            <w:right w:val="none" w:sz="0" w:space="0" w:color="auto"/>
          </w:divBdr>
        </w:div>
        <w:div w:id="1887523639">
          <w:marLeft w:val="0"/>
          <w:marRight w:val="0"/>
          <w:marTop w:val="0"/>
          <w:marBottom w:val="0"/>
          <w:divBdr>
            <w:top w:val="none" w:sz="0" w:space="0" w:color="auto"/>
            <w:left w:val="none" w:sz="0" w:space="0" w:color="auto"/>
            <w:bottom w:val="none" w:sz="0" w:space="0" w:color="auto"/>
            <w:right w:val="none" w:sz="0" w:space="0" w:color="auto"/>
          </w:divBdr>
        </w:div>
      </w:divsChild>
    </w:div>
    <w:div w:id="289481461">
      <w:bodyDiv w:val="1"/>
      <w:marLeft w:val="0"/>
      <w:marRight w:val="0"/>
      <w:marTop w:val="0"/>
      <w:marBottom w:val="0"/>
      <w:divBdr>
        <w:top w:val="none" w:sz="0" w:space="0" w:color="auto"/>
        <w:left w:val="none" w:sz="0" w:space="0" w:color="auto"/>
        <w:bottom w:val="none" w:sz="0" w:space="0" w:color="auto"/>
        <w:right w:val="none" w:sz="0" w:space="0" w:color="auto"/>
      </w:divBdr>
    </w:div>
    <w:div w:id="289744768">
      <w:bodyDiv w:val="1"/>
      <w:marLeft w:val="0"/>
      <w:marRight w:val="0"/>
      <w:marTop w:val="0"/>
      <w:marBottom w:val="0"/>
      <w:divBdr>
        <w:top w:val="none" w:sz="0" w:space="0" w:color="auto"/>
        <w:left w:val="none" w:sz="0" w:space="0" w:color="auto"/>
        <w:bottom w:val="none" w:sz="0" w:space="0" w:color="auto"/>
        <w:right w:val="none" w:sz="0" w:space="0" w:color="auto"/>
      </w:divBdr>
    </w:div>
    <w:div w:id="303238698">
      <w:bodyDiv w:val="1"/>
      <w:marLeft w:val="0"/>
      <w:marRight w:val="0"/>
      <w:marTop w:val="0"/>
      <w:marBottom w:val="0"/>
      <w:divBdr>
        <w:top w:val="none" w:sz="0" w:space="0" w:color="auto"/>
        <w:left w:val="none" w:sz="0" w:space="0" w:color="auto"/>
        <w:bottom w:val="none" w:sz="0" w:space="0" w:color="auto"/>
        <w:right w:val="none" w:sz="0" w:space="0" w:color="auto"/>
      </w:divBdr>
    </w:div>
    <w:div w:id="303396137">
      <w:bodyDiv w:val="1"/>
      <w:marLeft w:val="0"/>
      <w:marRight w:val="0"/>
      <w:marTop w:val="0"/>
      <w:marBottom w:val="0"/>
      <w:divBdr>
        <w:top w:val="none" w:sz="0" w:space="0" w:color="auto"/>
        <w:left w:val="none" w:sz="0" w:space="0" w:color="auto"/>
        <w:bottom w:val="none" w:sz="0" w:space="0" w:color="auto"/>
        <w:right w:val="none" w:sz="0" w:space="0" w:color="auto"/>
      </w:divBdr>
      <w:divsChild>
        <w:div w:id="17237501">
          <w:marLeft w:val="0"/>
          <w:marRight w:val="0"/>
          <w:marTop w:val="0"/>
          <w:marBottom w:val="0"/>
          <w:divBdr>
            <w:top w:val="none" w:sz="0" w:space="0" w:color="auto"/>
            <w:left w:val="none" w:sz="0" w:space="0" w:color="auto"/>
            <w:bottom w:val="none" w:sz="0" w:space="0" w:color="auto"/>
            <w:right w:val="none" w:sz="0" w:space="0" w:color="auto"/>
          </w:divBdr>
        </w:div>
        <w:div w:id="89937533">
          <w:marLeft w:val="0"/>
          <w:marRight w:val="0"/>
          <w:marTop w:val="0"/>
          <w:marBottom w:val="0"/>
          <w:divBdr>
            <w:top w:val="none" w:sz="0" w:space="0" w:color="auto"/>
            <w:left w:val="none" w:sz="0" w:space="0" w:color="auto"/>
            <w:bottom w:val="none" w:sz="0" w:space="0" w:color="auto"/>
            <w:right w:val="none" w:sz="0" w:space="0" w:color="auto"/>
          </w:divBdr>
        </w:div>
        <w:div w:id="288434142">
          <w:marLeft w:val="0"/>
          <w:marRight w:val="0"/>
          <w:marTop w:val="0"/>
          <w:marBottom w:val="0"/>
          <w:divBdr>
            <w:top w:val="none" w:sz="0" w:space="0" w:color="auto"/>
            <w:left w:val="none" w:sz="0" w:space="0" w:color="auto"/>
            <w:bottom w:val="none" w:sz="0" w:space="0" w:color="auto"/>
            <w:right w:val="none" w:sz="0" w:space="0" w:color="auto"/>
          </w:divBdr>
        </w:div>
        <w:div w:id="396972290">
          <w:marLeft w:val="0"/>
          <w:marRight w:val="0"/>
          <w:marTop w:val="0"/>
          <w:marBottom w:val="0"/>
          <w:divBdr>
            <w:top w:val="none" w:sz="0" w:space="0" w:color="auto"/>
            <w:left w:val="none" w:sz="0" w:space="0" w:color="auto"/>
            <w:bottom w:val="none" w:sz="0" w:space="0" w:color="auto"/>
            <w:right w:val="none" w:sz="0" w:space="0" w:color="auto"/>
          </w:divBdr>
        </w:div>
        <w:div w:id="552889328">
          <w:marLeft w:val="0"/>
          <w:marRight w:val="0"/>
          <w:marTop w:val="0"/>
          <w:marBottom w:val="0"/>
          <w:divBdr>
            <w:top w:val="none" w:sz="0" w:space="0" w:color="auto"/>
            <w:left w:val="none" w:sz="0" w:space="0" w:color="auto"/>
            <w:bottom w:val="none" w:sz="0" w:space="0" w:color="auto"/>
            <w:right w:val="none" w:sz="0" w:space="0" w:color="auto"/>
          </w:divBdr>
        </w:div>
        <w:div w:id="858659091">
          <w:marLeft w:val="0"/>
          <w:marRight w:val="0"/>
          <w:marTop w:val="0"/>
          <w:marBottom w:val="0"/>
          <w:divBdr>
            <w:top w:val="none" w:sz="0" w:space="0" w:color="auto"/>
            <w:left w:val="none" w:sz="0" w:space="0" w:color="auto"/>
            <w:bottom w:val="none" w:sz="0" w:space="0" w:color="auto"/>
            <w:right w:val="none" w:sz="0" w:space="0" w:color="auto"/>
          </w:divBdr>
        </w:div>
        <w:div w:id="924725150">
          <w:marLeft w:val="0"/>
          <w:marRight w:val="0"/>
          <w:marTop w:val="0"/>
          <w:marBottom w:val="0"/>
          <w:divBdr>
            <w:top w:val="none" w:sz="0" w:space="0" w:color="auto"/>
            <w:left w:val="none" w:sz="0" w:space="0" w:color="auto"/>
            <w:bottom w:val="none" w:sz="0" w:space="0" w:color="auto"/>
            <w:right w:val="none" w:sz="0" w:space="0" w:color="auto"/>
          </w:divBdr>
        </w:div>
        <w:div w:id="1170750327">
          <w:marLeft w:val="0"/>
          <w:marRight w:val="0"/>
          <w:marTop w:val="0"/>
          <w:marBottom w:val="0"/>
          <w:divBdr>
            <w:top w:val="none" w:sz="0" w:space="0" w:color="auto"/>
            <w:left w:val="none" w:sz="0" w:space="0" w:color="auto"/>
            <w:bottom w:val="none" w:sz="0" w:space="0" w:color="auto"/>
            <w:right w:val="none" w:sz="0" w:space="0" w:color="auto"/>
          </w:divBdr>
        </w:div>
        <w:div w:id="1213273249">
          <w:marLeft w:val="0"/>
          <w:marRight w:val="0"/>
          <w:marTop w:val="0"/>
          <w:marBottom w:val="0"/>
          <w:divBdr>
            <w:top w:val="none" w:sz="0" w:space="0" w:color="auto"/>
            <w:left w:val="none" w:sz="0" w:space="0" w:color="auto"/>
            <w:bottom w:val="none" w:sz="0" w:space="0" w:color="auto"/>
            <w:right w:val="none" w:sz="0" w:space="0" w:color="auto"/>
          </w:divBdr>
        </w:div>
        <w:div w:id="1343781452">
          <w:marLeft w:val="0"/>
          <w:marRight w:val="0"/>
          <w:marTop w:val="0"/>
          <w:marBottom w:val="0"/>
          <w:divBdr>
            <w:top w:val="none" w:sz="0" w:space="0" w:color="auto"/>
            <w:left w:val="none" w:sz="0" w:space="0" w:color="auto"/>
            <w:bottom w:val="none" w:sz="0" w:space="0" w:color="auto"/>
            <w:right w:val="none" w:sz="0" w:space="0" w:color="auto"/>
          </w:divBdr>
        </w:div>
        <w:div w:id="1480804679">
          <w:marLeft w:val="0"/>
          <w:marRight w:val="0"/>
          <w:marTop w:val="0"/>
          <w:marBottom w:val="0"/>
          <w:divBdr>
            <w:top w:val="none" w:sz="0" w:space="0" w:color="auto"/>
            <w:left w:val="none" w:sz="0" w:space="0" w:color="auto"/>
            <w:bottom w:val="none" w:sz="0" w:space="0" w:color="auto"/>
            <w:right w:val="none" w:sz="0" w:space="0" w:color="auto"/>
          </w:divBdr>
        </w:div>
        <w:div w:id="1529685026">
          <w:marLeft w:val="0"/>
          <w:marRight w:val="0"/>
          <w:marTop w:val="0"/>
          <w:marBottom w:val="0"/>
          <w:divBdr>
            <w:top w:val="none" w:sz="0" w:space="0" w:color="auto"/>
            <w:left w:val="none" w:sz="0" w:space="0" w:color="auto"/>
            <w:bottom w:val="none" w:sz="0" w:space="0" w:color="auto"/>
            <w:right w:val="none" w:sz="0" w:space="0" w:color="auto"/>
          </w:divBdr>
        </w:div>
        <w:div w:id="1756390943">
          <w:marLeft w:val="0"/>
          <w:marRight w:val="0"/>
          <w:marTop w:val="0"/>
          <w:marBottom w:val="0"/>
          <w:divBdr>
            <w:top w:val="none" w:sz="0" w:space="0" w:color="auto"/>
            <w:left w:val="none" w:sz="0" w:space="0" w:color="auto"/>
            <w:bottom w:val="none" w:sz="0" w:space="0" w:color="auto"/>
            <w:right w:val="none" w:sz="0" w:space="0" w:color="auto"/>
          </w:divBdr>
        </w:div>
        <w:div w:id="1825774975">
          <w:marLeft w:val="0"/>
          <w:marRight w:val="0"/>
          <w:marTop w:val="0"/>
          <w:marBottom w:val="0"/>
          <w:divBdr>
            <w:top w:val="none" w:sz="0" w:space="0" w:color="auto"/>
            <w:left w:val="none" w:sz="0" w:space="0" w:color="auto"/>
            <w:bottom w:val="none" w:sz="0" w:space="0" w:color="auto"/>
            <w:right w:val="none" w:sz="0" w:space="0" w:color="auto"/>
          </w:divBdr>
        </w:div>
        <w:div w:id="1918175012">
          <w:marLeft w:val="0"/>
          <w:marRight w:val="0"/>
          <w:marTop w:val="0"/>
          <w:marBottom w:val="0"/>
          <w:divBdr>
            <w:top w:val="none" w:sz="0" w:space="0" w:color="auto"/>
            <w:left w:val="none" w:sz="0" w:space="0" w:color="auto"/>
            <w:bottom w:val="none" w:sz="0" w:space="0" w:color="auto"/>
            <w:right w:val="none" w:sz="0" w:space="0" w:color="auto"/>
          </w:divBdr>
        </w:div>
        <w:div w:id="1960716125">
          <w:marLeft w:val="0"/>
          <w:marRight w:val="0"/>
          <w:marTop w:val="0"/>
          <w:marBottom w:val="0"/>
          <w:divBdr>
            <w:top w:val="none" w:sz="0" w:space="0" w:color="auto"/>
            <w:left w:val="none" w:sz="0" w:space="0" w:color="auto"/>
            <w:bottom w:val="none" w:sz="0" w:space="0" w:color="auto"/>
            <w:right w:val="none" w:sz="0" w:space="0" w:color="auto"/>
          </w:divBdr>
        </w:div>
      </w:divsChild>
    </w:div>
    <w:div w:id="330565144">
      <w:bodyDiv w:val="1"/>
      <w:marLeft w:val="0"/>
      <w:marRight w:val="0"/>
      <w:marTop w:val="0"/>
      <w:marBottom w:val="0"/>
      <w:divBdr>
        <w:top w:val="none" w:sz="0" w:space="0" w:color="auto"/>
        <w:left w:val="none" w:sz="0" w:space="0" w:color="auto"/>
        <w:bottom w:val="none" w:sz="0" w:space="0" w:color="auto"/>
        <w:right w:val="none" w:sz="0" w:space="0" w:color="auto"/>
      </w:divBdr>
    </w:div>
    <w:div w:id="332032310">
      <w:bodyDiv w:val="1"/>
      <w:marLeft w:val="0"/>
      <w:marRight w:val="0"/>
      <w:marTop w:val="0"/>
      <w:marBottom w:val="0"/>
      <w:divBdr>
        <w:top w:val="none" w:sz="0" w:space="0" w:color="auto"/>
        <w:left w:val="none" w:sz="0" w:space="0" w:color="auto"/>
        <w:bottom w:val="none" w:sz="0" w:space="0" w:color="auto"/>
        <w:right w:val="none" w:sz="0" w:space="0" w:color="auto"/>
      </w:divBdr>
    </w:div>
    <w:div w:id="359866154">
      <w:bodyDiv w:val="1"/>
      <w:marLeft w:val="0"/>
      <w:marRight w:val="0"/>
      <w:marTop w:val="0"/>
      <w:marBottom w:val="0"/>
      <w:divBdr>
        <w:top w:val="none" w:sz="0" w:space="0" w:color="auto"/>
        <w:left w:val="none" w:sz="0" w:space="0" w:color="auto"/>
        <w:bottom w:val="none" w:sz="0" w:space="0" w:color="auto"/>
        <w:right w:val="none" w:sz="0" w:space="0" w:color="auto"/>
      </w:divBdr>
    </w:div>
    <w:div w:id="383675010">
      <w:bodyDiv w:val="1"/>
      <w:marLeft w:val="0"/>
      <w:marRight w:val="0"/>
      <w:marTop w:val="0"/>
      <w:marBottom w:val="0"/>
      <w:divBdr>
        <w:top w:val="none" w:sz="0" w:space="0" w:color="auto"/>
        <w:left w:val="none" w:sz="0" w:space="0" w:color="auto"/>
        <w:bottom w:val="none" w:sz="0" w:space="0" w:color="auto"/>
        <w:right w:val="none" w:sz="0" w:space="0" w:color="auto"/>
      </w:divBdr>
    </w:div>
    <w:div w:id="384716541">
      <w:bodyDiv w:val="1"/>
      <w:marLeft w:val="0"/>
      <w:marRight w:val="0"/>
      <w:marTop w:val="0"/>
      <w:marBottom w:val="0"/>
      <w:divBdr>
        <w:top w:val="none" w:sz="0" w:space="0" w:color="auto"/>
        <w:left w:val="none" w:sz="0" w:space="0" w:color="auto"/>
        <w:bottom w:val="none" w:sz="0" w:space="0" w:color="auto"/>
        <w:right w:val="none" w:sz="0" w:space="0" w:color="auto"/>
      </w:divBdr>
      <w:divsChild>
        <w:div w:id="1107038618">
          <w:marLeft w:val="0"/>
          <w:marRight w:val="0"/>
          <w:marTop w:val="0"/>
          <w:marBottom w:val="0"/>
          <w:divBdr>
            <w:top w:val="none" w:sz="0" w:space="0" w:color="auto"/>
            <w:left w:val="none" w:sz="0" w:space="0" w:color="auto"/>
            <w:bottom w:val="single" w:sz="6" w:space="3" w:color="D0D4D7"/>
            <w:right w:val="none" w:sz="0" w:space="0" w:color="auto"/>
          </w:divBdr>
          <w:divsChild>
            <w:div w:id="647906841">
              <w:marLeft w:val="0"/>
              <w:marRight w:val="0"/>
              <w:marTop w:val="60"/>
              <w:marBottom w:val="0"/>
              <w:divBdr>
                <w:top w:val="single" w:sz="6" w:space="2" w:color="6A7780"/>
                <w:left w:val="single" w:sz="6" w:space="5" w:color="6A7780"/>
                <w:bottom w:val="single" w:sz="6" w:space="2" w:color="6A7780"/>
                <w:right w:val="single" w:sz="6" w:space="5" w:color="6A7780"/>
              </w:divBdr>
            </w:div>
          </w:divsChild>
        </w:div>
      </w:divsChild>
    </w:div>
    <w:div w:id="396318215">
      <w:bodyDiv w:val="1"/>
      <w:marLeft w:val="0"/>
      <w:marRight w:val="0"/>
      <w:marTop w:val="0"/>
      <w:marBottom w:val="0"/>
      <w:divBdr>
        <w:top w:val="none" w:sz="0" w:space="0" w:color="auto"/>
        <w:left w:val="none" w:sz="0" w:space="0" w:color="auto"/>
        <w:bottom w:val="none" w:sz="0" w:space="0" w:color="auto"/>
        <w:right w:val="none" w:sz="0" w:space="0" w:color="auto"/>
      </w:divBdr>
    </w:div>
    <w:div w:id="399527456">
      <w:bodyDiv w:val="1"/>
      <w:marLeft w:val="0"/>
      <w:marRight w:val="0"/>
      <w:marTop w:val="0"/>
      <w:marBottom w:val="0"/>
      <w:divBdr>
        <w:top w:val="none" w:sz="0" w:space="0" w:color="auto"/>
        <w:left w:val="none" w:sz="0" w:space="0" w:color="auto"/>
        <w:bottom w:val="none" w:sz="0" w:space="0" w:color="auto"/>
        <w:right w:val="none" w:sz="0" w:space="0" w:color="auto"/>
      </w:divBdr>
    </w:div>
    <w:div w:id="402605233">
      <w:bodyDiv w:val="1"/>
      <w:marLeft w:val="0"/>
      <w:marRight w:val="0"/>
      <w:marTop w:val="0"/>
      <w:marBottom w:val="0"/>
      <w:divBdr>
        <w:top w:val="none" w:sz="0" w:space="0" w:color="auto"/>
        <w:left w:val="none" w:sz="0" w:space="0" w:color="auto"/>
        <w:bottom w:val="none" w:sz="0" w:space="0" w:color="auto"/>
        <w:right w:val="none" w:sz="0" w:space="0" w:color="auto"/>
      </w:divBdr>
    </w:div>
    <w:div w:id="424153083">
      <w:bodyDiv w:val="1"/>
      <w:marLeft w:val="0"/>
      <w:marRight w:val="0"/>
      <w:marTop w:val="0"/>
      <w:marBottom w:val="0"/>
      <w:divBdr>
        <w:top w:val="none" w:sz="0" w:space="0" w:color="auto"/>
        <w:left w:val="none" w:sz="0" w:space="0" w:color="auto"/>
        <w:bottom w:val="none" w:sz="0" w:space="0" w:color="auto"/>
        <w:right w:val="none" w:sz="0" w:space="0" w:color="auto"/>
      </w:divBdr>
    </w:div>
    <w:div w:id="440228432">
      <w:bodyDiv w:val="1"/>
      <w:marLeft w:val="0"/>
      <w:marRight w:val="0"/>
      <w:marTop w:val="0"/>
      <w:marBottom w:val="0"/>
      <w:divBdr>
        <w:top w:val="none" w:sz="0" w:space="0" w:color="auto"/>
        <w:left w:val="none" w:sz="0" w:space="0" w:color="auto"/>
        <w:bottom w:val="none" w:sz="0" w:space="0" w:color="auto"/>
        <w:right w:val="none" w:sz="0" w:space="0" w:color="auto"/>
      </w:divBdr>
    </w:div>
    <w:div w:id="441385784">
      <w:bodyDiv w:val="1"/>
      <w:marLeft w:val="0"/>
      <w:marRight w:val="0"/>
      <w:marTop w:val="0"/>
      <w:marBottom w:val="0"/>
      <w:divBdr>
        <w:top w:val="none" w:sz="0" w:space="0" w:color="auto"/>
        <w:left w:val="none" w:sz="0" w:space="0" w:color="auto"/>
        <w:bottom w:val="none" w:sz="0" w:space="0" w:color="auto"/>
        <w:right w:val="none" w:sz="0" w:space="0" w:color="auto"/>
      </w:divBdr>
    </w:div>
    <w:div w:id="490607065">
      <w:bodyDiv w:val="1"/>
      <w:marLeft w:val="0"/>
      <w:marRight w:val="0"/>
      <w:marTop w:val="0"/>
      <w:marBottom w:val="0"/>
      <w:divBdr>
        <w:top w:val="none" w:sz="0" w:space="0" w:color="auto"/>
        <w:left w:val="none" w:sz="0" w:space="0" w:color="auto"/>
        <w:bottom w:val="none" w:sz="0" w:space="0" w:color="auto"/>
        <w:right w:val="none" w:sz="0" w:space="0" w:color="auto"/>
      </w:divBdr>
      <w:divsChild>
        <w:div w:id="393427606">
          <w:marLeft w:val="0"/>
          <w:marRight w:val="0"/>
          <w:marTop w:val="0"/>
          <w:marBottom w:val="0"/>
          <w:divBdr>
            <w:top w:val="none" w:sz="0" w:space="0" w:color="auto"/>
            <w:left w:val="none" w:sz="0" w:space="0" w:color="auto"/>
            <w:bottom w:val="single" w:sz="6" w:space="3" w:color="D0D4D7"/>
            <w:right w:val="none" w:sz="0" w:space="0" w:color="auto"/>
          </w:divBdr>
          <w:divsChild>
            <w:div w:id="754713481">
              <w:marLeft w:val="0"/>
              <w:marRight w:val="0"/>
              <w:marTop w:val="60"/>
              <w:marBottom w:val="0"/>
              <w:divBdr>
                <w:top w:val="single" w:sz="6" w:space="2" w:color="6A7780"/>
                <w:left w:val="single" w:sz="6" w:space="5" w:color="6A7780"/>
                <w:bottom w:val="single" w:sz="6" w:space="2" w:color="6A7780"/>
                <w:right w:val="single" w:sz="6" w:space="5" w:color="6A7780"/>
              </w:divBdr>
            </w:div>
          </w:divsChild>
        </w:div>
      </w:divsChild>
    </w:div>
    <w:div w:id="495456678">
      <w:bodyDiv w:val="1"/>
      <w:marLeft w:val="0"/>
      <w:marRight w:val="0"/>
      <w:marTop w:val="0"/>
      <w:marBottom w:val="0"/>
      <w:divBdr>
        <w:top w:val="none" w:sz="0" w:space="0" w:color="auto"/>
        <w:left w:val="none" w:sz="0" w:space="0" w:color="auto"/>
        <w:bottom w:val="none" w:sz="0" w:space="0" w:color="auto"/>
        <w:right w:val="none" w:sz="0" w:space="0" w:color="auto"/>
      </w:divBdr>
    </w:div>
    <w:div w:id="556209621">
      <w:bodyDiv w:val="1"/>
      <w:marLeft w:val="0"/>
      <w:marRight w:val="0"/>
      <w:marTop w:val="0"/>
      <w:marBottom w:val="0"/>
      <w:divBdr>
        <w:top w:val="none" w:sz="0" w:space="0" w:color="auto"/>
        <w:left w:val="none" w:sz="0" w:space="0" w:color="auto"/>
        <w:bottom w:val="none" w:sz="0" w:space="0" w:color="auto"/>
        <w:right w:val="none" w:sz="0" w:space="0" w:color="auto"/>
      </w:divBdr>
    </w:div>
    <w:div w:id="564994867">
      <w:bodyDiv w:val="1"/>
      <w:marLeft w:val="0"/>
      <w:marRight w:val="0"/>
      <w:marTop w:val="0"/>
      <w:marBottom w:val="0"/>
      <w:divBdr>
        <w:top w:val="none" w:sz="0" w:space="0" w:color="auto"/>
        <w:left w:val="none" w:sz="0" w:space="0" w:color="auto"/>
        <w:bottom w:val="none" w:sz="0" w:space="0" w:color="auto"/>
        <w:right w:val="none" w:sz="0" w:space="0" w:color="auto"/>
      </w:divBdr>
      <w:divsChild>
        <w:div w:id="11566075">
          <w:marLeft w:val="0"/>
          <w:marRight w:val="0"/>
          <w:marTop w:val="0"/>
          <w:marBottom w:val="0"/>
          <w:divBdr>
            <w:top w:val="none" w:sz="0" w:space="0" w:color="auto"/>
            <w:left w:val="none" w:sz="0" w:space="0" w:color="auto"/>
            <w:bottom w:val="single" w:sz="6" w:space="3" w:color="D0D4D7"/>
            <w:right w:val="none" w:sz="0" w:space="0" w:color="auto"/>
          </w:divBdr>
          <w:divsChild>
            <w:div w:id="1611008498">
              <w:marLeft w:val="0"/>
              <w:marRight w:val="0"/>
              <w:marTop w:val="60"/>
              <w:marBottom w:val="0"/>
              <w:divBdr>
                <w:top w:val="single" w:sz="6" w:space="2" w:color="6A7780"/>
                <w:left w:val="single" w:sz="6" w:space="5" w:color="6A7780"/>
                <w:bottom w:val="single" w:sz="6" w:space="2" w:color="6A7780"/>
                <w:right w:val="single" w:sz="6" w:space="5" w:color="6A7780"/>
              </w:divBdr>
            </w:div>
          </w:divsChild>
        </w:div>
      </w:divsChild>
    </w:div>
    <w:div w:id="570506909">
      <w:bodyDiv w:val="1"/>
      <w:marLeft w:val="0"/>
      <w:marRight w:val="0"/>
      <w:marTop w:val="0"/>
      <w:marBottom w:val="0"/>
      <w:divBdr>
        <w:top w:val="none" w:sz="0" w:space="0" w:color="auto"/>
        <w:left w:val="none" w:sz="0" w:space="0" w:color="auto"/>
        <w:bottom w:val="none" w:sz="0" w:space="0" w:color="auto"/>
        <w:right w:val="none" w:sz="0" w:space="0" w:color="auto"/>
      </w:divBdr>
    </w:div>
    <w:div w:id="594479512">
      <w:bodyDiv w:val="1"/>
      <w:marLeft w:val="0"/>
      <w:marRight w:val="0"/>
      <w:marTop w:val="0"/>
      <w:marBottom w:val="0"/>
      <w:divBdr>
        <w:top w:val="none" w:sz="0" w:space="0" w:color="auto"/>
        <w:left w:val="none" w:sz="0" w:space="0" w:color="auto"/>
        <w:bottom w:val="none" w:sz="0" w:space="0" w:color="auto"/>
        <w:right w:val="none" w:sz="0" w:space="0" w:color="auto"/>
      </w:divBdr>
    </w:div>
    <w:div w:id="594676689">
      <w:bodyDiv w:val="1"/>
      <w:marLeft w:val="0"/>
      <w:marRight w:val="0"/>
      <w:marTop w:val="0"/>
      <w:marBottom w:val="0"/>
      <w:divBdr>
        <w:top w:val="none" w:sz="0" w:space="0" w:color="auto"/>
        <w:left w:val="none" w:sz="0" w:space="0" w:color="auto"/>
        <w:bottom w:val="none" w:sz="0" w:space="0" w:color="auto"/>
        <w:right w:val="none" w:sz="0" w:space="0" w:color="auto"/>
      </w:divBdr>
    </w:div>
    <w:div w:id="625503729">
      <w:bodyDiv w:val="1"/>
      <w:marLeft w:val="0"/>
      <w:marRight w:val="0"/>
      <w:marTop w:val="0"/>
      <w:marBottom w:val="0"/>
      <w:divBdr>
        <w:top w:val="none" w:sz="0" w:space="0" w:color="auto"/>
        <w:left w:val="none" w:sz="0" w:space="0" w:color="auto"/>
        <w:bottom w:val="none" w:sz="0" w:space="0" w:color="auto"/>
        <w:right w:val="none" w:sz="0" w:space="0" w:color="auto"/>
      </w:divBdr>
    </w:div>
    <w:div w:id="630524586">
      <w:bodyDiv w:val="1"/>
      <w:marLeft w:val="0"/>
      <w:marRight w:val="0"/>
      <w:marTop w:val="0"/>
      <w:marBottom w:val="0"/>
      <w:divBdr>
        <w:top w:val="none" w:sz="0" w:space="0" w:color="auto"/>
        <w:left w:val="none" w:sz="0" w:space="0" w:color="auto"/>
        <w:bottom w:val="none" w:sz="0" w:space="0" w:color="auto"/>
        <w:right w:val="none" w:sz="0" w:space="0" w:color="auto"/>
      </w:divBdr>
      <w:divsChild>
        <w:div w:id="327904334">
          <w:marLeft w:val="0"/>
          <w:marRight w:val="0"/>
          <w:marTop w:val="0"/>
          <w:marBottom w:val="0"/>
          <w:divBdr>
            <w:top w:val="none" w:sz="0" w:space="0" w:color="auto"/>
            <w:left w:val="none" w:sz="0" w:space="0" w:color="auto"/>
            <w:bottom w:val="none" w:sz="0" w:space="0" w:color="auto"/>
            <w:right w:val="none" w:sz="0" w:space="0" w:color="auto"/>
          </w:divBdr>
        </w:div>
        <w:div w:id="341979037">
          <w:marLeft w:val="0"/>
          <w:marRight w:val="0"/>
          <w:marTop w:val="0"/>
          <w:marBottom w:val="0"/>
          <w:divBdr>
            <w:top w:val="none" w:sz="0" w:space="0" w:color="auto"/>
            <w:left w:val="none" w:sz="0" w:space="0" w:color="auto"/>
            <w:bottom w:val="none" w:sz="0" w:space="0" w:color="auto"/>
            <w:right w:val="none" w:sz="0" w:space="0" w:color="auto"/>
          </w:divBdr>
        </w:div>
        <w:div w:id="564876902">
          <w:marLeft w:val="0"/>
          <w:marRight w:val="0"/>
          <w:marTop w:val="0"/>
          <w:marBottom w:val="0"/>
          <w:divBdr>
            <w:top w:val="none" w:sz="0" w:space="0" w:color="auto"/>
            <w:left w:val="none" w:sz="0" w:space="0" w:color="auto"/>
            <w:bottom w:val="none" w:sz="0" w:space="0" w:color="auto"/>
            <w:right w:val="none" w:sz="0" w:space="0" w:color="auto"/>
          </w:divBdr>
        </w:div>
        <w:div w:id="604772631">
          <w:marLeft w:val="0"/>
          <w:marRight w:val="0"/>
          <w:marTop w:val="0"/>
          <w:marBottom w:val="0"/>
          <w:divBdr>
            <w:top w:val="none" w:sz="0" w:space="0" w:color="auto"/>
            <w:left w:val="none" w:sz="0" w:space="0" w:color="auto"/>
            <w:bottom w:val="none" w:sz="0" w:space="0" w:color="auto"/>
            <w:right w:val="none" w:sz="0" w:space="0" w:color="auto"/>
          </w:divBdr>
        </w:div>
        <w:div w:id="1180316196">
          <w:marLeft w:val="0"/>
          <w:marRight w:val="0"/>
          <w:marTop w:val="0"/>
          <w:marBottom w:val="0"/>
          <w:divBdr>
            <w:top w:val="none" w:sz="0" w:space="0" w:color="auto"/>
            <w:left w:val="none" w:sz="0" w:space="0" w:color="auto"/>
            <w:bottom w:val="none" w:sz="0" w:space="0" w:color="auto"/>
            <w:right w:val="none" w:sz="0" w:space="0" w:color="auto"/>
          </w:divBdr>
        </w:div>
      </w:divsChild>
    </w:div>
    <w:div w:id="653491905">
      <w:bodyDiv w:val="1"/>
      <w:marLeft w:val="0"/>
      <w:marRight w:val="0"/>
      <w:marTop w:val="0"/>
      <w:marBottom w:val="0"/>
      <w:divBdr>
        <w:top w:val="none" w:sz="0" w:space="0" w:color="auto"/>
        <w:left w:val="none" w:sz="0" w:space="0" w:color="auto"/>
        <w:bottom w:val="none" w:sz="0" w:space="0" w:color="auto"/>
        <w:right w:val="none" w:sz="0" w:space="0" w:color="auto"/>
      </w:divBdr>
    </w:div>
    <w:div w:id="666136555">
      <w:bodyDiv w:val="1"/>
      <w:marLeft w:val="0"/>
      <w:marRight w:val="0"/>
      <w:marTop w:val="0"/>
      <w:marBottom w:val="0"/>
      <w:divBdr>
        <w:top w:val="none" w:sz="0" w:space="0" w:color="auto"/>
        <w:left w:val="none" w:sz="0" w:space="0" w:color="auto"/>
        <w:bottom w:val="none" w:sz="0" w:space="0" w:color="auto"/>
        <w:right w:val="none" w:sz="0" w:space="0" w:color="auto"/>
      </w:divBdr>
    </w:div>
    <w:div w:id="692539901">
      <w:bodyDiv w:val="1"/>
      <w:marLeft w:val="0"/>
      <w:marRight w:val="0"/>
      <w:marTop w:val="0"/>
      <w:marBottom w:val="0"/>
      <w:divBdr>
        <w:top w:val="none" w:sz="0" w:space="0" w:color="auto"/>
        <w:left w:val="none" w:sz="0" w:space="0" w:color="auto"/>
        <w:bottom w:val="none" w:sz="0" w:space="0" w:color="auto"/>
        <w:right w:val="none" w:sz="0" w:space="0" w:color="auto"/>
      </w:divBdr>
      <w:divsChild>
        <w:div w:id="1119255340">
          <w:marLeft w:val="0"/>
          <w:marRight w:val="0"/>
          <w:marTop w:val="0"/>
          <w:marBottom w:val="0"/>
          <w:divBdr>
            <w:top w:val="none" w:sz="0" w:space="0" w:color="auto"/>
            <w:left w:val="none" w:sz="0" w:space="0" w:color="auto"/>
            <w:bottom w:val="single" w:sz="6" w:space="3" w:color="D0D4D7"/>
            <w:right w:val="none" w:sz="0" w:space="0" w:color="auto"/>
          </w:divBdr>
          <w:divsChild>
            <w:div w:id="246697661">
              <w:marLeft w:val="0"/>
              <w:marRight w:val="0"/>
              <w:marTop w:val="60"/>
              <w:marBottom w:val="0"/>
              <w:divBdr>
                <w:top w:val="single" w:sz="6" w:space="2" w:color="6A7780"/>
                <w:left w:val="single" w:sz="6" w:space="5" w:color="6A7780"/>
                <w:bottom w:val="single" w:sz="6" w:space="2" w:color="6A7780"/>
                <w:right w:val="single" w:sz="6" w:space="5" w:color="6A7780"/>
              </w:divBdr>
            </w:div>
          </w:divsChild>
        </w:div>
      </w:divsChild>
    </w:div>
    <w:div w:id="723214481">
      <w:bodyDiv w:val="1"/>
      <w:marLeft w:val="0"/>
      <w:marRight w:val="0"/>
      <w:marTop w:val="0"/>
      <w:marBottom w:val="0"/>
      <w:divBdr>
        <w:top w:val="none" w:sz="0" w:space="0" w:color="auto"/>
        <w:left w:val="none" w:sz="0" w:space="0" w:color="auto"/>
        <w:bottom w:val="none" w:sz="0" w:space="0" w:color="auto"/>
        <w:right w:val="none" w:sz="0" w:space="0" w:color="auto"/>
      </w:divBdr>
    </w:div>
    <w:div w:id="770929653">
      <w:bodyDiv w:val="1"/>
      <w:marLeft w:val="0"/>
      <w:marRight w:val="0"/>
      <w:marTop w:val="0"/>
      <w:marBottom w:val="0"/>
      <w:divBdr>
        <w:top w:val="none" w:sz="0" w:space="0" w:color="auto"/>
        <w:left w:val="none" w:sz="0" w:space="0" w:color="auto"/>
        <w:bottom w:val="none" w:sz="0" w:space="0" w:color="auto"/>
        <w:right w:val="none" w:sz="0" w:space="0" w:color="auto"/>
      </w:divBdr>
      <w:divsChild>
        <w:div w:id="1034308118">
          <w:marLeft w:val="0"/>
          <w:marRight w:val="0"/>
          <w:marTop w:val="0"/>
          <w:marBottom w:val="0"/>
          <w:divBdr>
            <w:top w:val="none" w:sz="0" w:space="0" w:color="auto"/>
            <w:left w:val="none" w:sz="0" w:space="0" w:color="auto"/>
            <w:bottom w:val="single" w:sz="6" w:space="3" w:color="D0D4D7"/>
            <w:right w:val="none" w:sz="0" w:space="0" w:color="auto"/>
          </w:divBdr>
          <w:divsChild>
            <w:div w:id="473065971">
              <w:marLeft w:val="0"/>
              <w:marRight w:val="0"/>
              <w:marTop w:val="60"/>
              <w:marBottom w:val="0"/>
              <w:divBdr>
                <w:top w:val="single" w:sz="6" w:space="2" w:color="6A7780"/>
                <w:left w:val="single" w:sz="6" w:space="5" w:color="6A7780"/>
                <w:bottom w:val="single" w:sz="6" w:space="2" w:color="6A7780"/>
                <w:right w:val="single" w:sz="6" w:space="5" w:color="6A7780"/>
              </w:divBdr>
            </w:div>
          </w:divsChild>
        </w:div>
      </w:divsChild>
    </w:div>
    <w:div w:id="799762701">
      <w:bodyDiv w:val="1"/>
      <w:marLeft w:val="0"/>
      <w:marRight w:val="0"/>
      <w:marTop w:val="0"/>
      <w:marBottom w:val="0"/>
      <w:divBdr>
        <w:top w:val="none" w:sz="0" w:space="0" w:color="auto"/>
        <w:left w:val="none" w:sz="0" w:space="0" w:color="auto"/>
        <w:bottom w:val="none" w:sz="0" w:space="0" w:color="auto"/>
        <w:right w:val="none" w:sz="0" w:space="0" w:color="auto"/>
      </w:divBdr>
    </w:div>
    <w:div w:id="803812034">
      <w:bodyDiv w:val="1"/>
      <w:marLeft w:val="0"/>
      <w:marRight w:val="0"/>
      <w:marTop w:val="0"/>
      <w:marBottom w:val="0"/>
      <w:divBdr>
        <w:top w:val="none" w:sz="0" w:space="0" w:color="auto"/>
        <w:left w:val="none" w:sz="0" w:space="0" w:color="auto"/>
        <w:bottom w:val="none" w:sz="0" w:space="0" w:color="auto"/>
        <w:right w:val="none" w:sz="0" w:space="0" w:color="auto"/>
      </w:divBdr>
    </w:div>
    <w:div w:id="808209180">
      <w:bodyDiv w:val="1"/>
      <w:marLeft w:val="0"/>
      <w:marRight w:val="0"/>
      <w:marTop w:val="0"/>
      <w:marBottom w:val="0"/>
      <w:divBdr>
        <w:top w:val="none" w:sz="0" w:space="0" w:color="auto"/>
        <w:left w:val="none" w:sz="0" w:space="0" w:color="auto"/>
        <w:bottom w:val="none" w:sz="0" w:space="0" w:color="auto"/>
        <w:right w:val="none" w:sz="0" w:space="0" w:color="auto"/>
      </w:divBdr>
    </w:div>
    <w:div w:id="848955902">
      <w:bodyDiv w:val="1"/>
      <w:marLeft w:val="0"/>
      <w:marRight w:val="0"/>
      <w:marTop w:val="0"/>
      <w:marBottom w:val="0"/>
      <w:divBdr>
        <w:top w:val="none" w:sz="0" w:space="0" w:color="auto"/>
        <w:left w:val="none" w:sz="0" w:space="0" w:color="auto"/>
        <w:bottom w:val="none" w:sz="0" w:space="0" w:color="auto"/>
        <w:right w:val="none" w:sz="0" w:space="0" w:color="auto"/>
      </w:divBdr>
    </w:div>
    <w:div w:id="875968155">
      <w:bodyDiv w:val="1"/>
      <w:marLeft w:val="0"/>
      <w:marRight w:val="0"/>
      <w:marTop w:val="0"/>
      <w:marBottom w:val="0"/>
      <w:divBdr>
        <w:top w:val="none" w:sz="0" w:space="0" w:color="auto"/>
        <w:left w:val="none" w:sz="0" w:space="0" w:color="auto"/>
        <w:bottom w:val="none" w:sz="0" w:space="0" w:color="auto"/>
        <w:right w:val="none" w:sz="0" w:space="0" w:color="auto"/>
      </w:divBdr>
    </w:div>
    <w:div w:id="894661848">
      <w:bodyDiv w:val="1"/>
      <w:marLeft w:val="0"/>
      <w:marRight w:val="0"/>
      <w:marTop w:val="0"/>
      <w:marBottom w:val="0"/>
      <w:divBdr>
        <w:top w:val="none" w:sz="0" w:space="0" w:color="auto"/>
        <w:left w:val="none" w:sz="0" w:space="0" w:color="auto"/>
        <w:bottom w:val="none" w:sz="0" w:space="0" w:color="auto"/>
        <w:right w:val="none" w:sz="0" w:space="0" w:color="auto"/>
      </w:divBdr>
    </w:div>
    <w:div w:id="983004565">
      <w:bodyDiv w:val="1"/>
      <w:marLeft w:val="0"/>
      <w:marRight w:val="0"/>
      <w:marTop w:val="0"/>
      <w:marBottom w:val="0"/>
      <w:divBdr>
        <w:top w:val="none" w:sz="0" w:space="0" w:color="auto"/>
        <w:left w:val="none" w:sz="0" w:space="0" w:color="auto"/>
        <w:bottom w:val="none" w:sz="0" w:space="0" w:color="auto"/>
        <w:right w:val="none" w:sz="0" w:space="0" w:color="auto"/>
      </w:divBdr>
      <w:divsChild>
        <w:div w:id="1799954754">
          <w:marLeft w:val="0"/>
          <w:marRight w:val="0"/>
          <w:marTop w:val="0"/>
          <w:marBottom w:val="0"/>
          <w:divBdr>
            <w:top w:val="none" w:sz="0" w:space="0" w:color="auto"/>
            <w:left w:val="none" w:sz="0" w:space="0" w:color="auto"/>
            <w:bottom w:val="single" w:sz="6" w:space="3" w:color="D0D4D7"/>
            <w:right w:val="none" w:sz="0" w:space="0" w:color="auto"/>
          </w:divBdr>
          <w:divsChild>
            <w:div w:id="144518640">
              <w:marLeft w:val="0"/>
              <w:marRight w:val="0"/>
              <w:marTop w:val="60"/>
              <w:marBottom w:val="0"/>
              <w:divBdr>
                <w:top w:val="single" w:sz="6" w:space="2" w:color="6A7780"/>
                <w:left w:val="single" w:sz="6" w:space="5" w:color="6A7780"/>
                <w:bottom w:val="single" w:sz="6" w:space="2" w:color="6A7780"/>
                <w:right w:val="single" w:sz="6" w:space="5" w:color="6A7780"/>
              </w:divBdr>
            </w:div>
          </w:divsChild>
        </w:div>
      </w:divsChild>
    </w:div>
    <w:div w:id="986319028">
      <w:bodyDiv w:val="1"/>
      <w:marLeft w:val="0"/>
      <w:marRight w:val="0"/>
      <w:marTop w:val="0"/>
      <w:marBottom w:val="0"/>
      <w:divBdr>
        <w:top w:val="none" w:sz="0" w:space="0" w:color="auto"/>
        <w:left w:val="none" w:sz="0" w:space="0" w:color="auto"/>
        <w:bottom w:val="none" w:sz="0" w:space="0" w:color="auto"/>
        <w:right w:val="none" w:sz="0" w:space="0" w:color="auto"/>
      </w:divBdr>
    </w:div>
    <w:div w:id="1059986019">
      <w:bodyDiv w:val="1"/>
      <w:marLeft w:val="0"/>
      <w:marRight w:val="0"/>
      <w:marTop w:val="0"/>
      <w:marBottom w:val="0"/>
      <w:divBdr>
        <w:top w:val="none" w:sz="0" w:space="0" w:color="auto"/>
        <w:left w:val="none" w:sz="0" w:space="0" w:color="auto"/>
        <w:bottom w:val="none" w:sz="0" w:space="0" w:color="auto"/>
        <w:right w:val="none" w:sz="0" w:space="0" w:color="auto"/>
      </w:divBdr>
    </w:div>
    <w:div w:id="1068773349">
      <w:bodyDiv w:val="1"/>
      <w:marLeft w:val="0"/>
      <w:marRight w:val="0"/>
      <w:marTop w:val="0"/>
      <w:marBottom w:val="0"/>
      <w:divBdr>
        <w:top w:val="none" w:sz="0" w:space="0" w:color="auto"/>
        <w:left w:val="none" w:sz="0" w:space="0" w:color="auto"/>
        <w:bottom w:val="none" w:sz="0" w:space="0" w:color="auto"/>
        <w:right w:val="none" w:sz="0" w:space="0" w:color="auto"/>
      </w:divBdr>
    </w:div>
    <w:div w:id="1075472265">
      <w:bodyDiv w:val="1"/>
      <w:marLeft w:val="0"/>
      <w:marRight w:val="0"/>
      <w:marTop w:val="0"/>
      <w:marBottom w:val="0"/>
      <w:divBdr>
        <w:top w:val="none" w:sz="0" w:space="0" w:color="auto"/>
        <w:left w:val="none" w:sz="0" w:space="0" w:color="auto"/>
        <w:bottom w:val="none" w:sz="0" w:space="0" w:color="auto"/>
        <w:right w:val="none" w:sz="0" w:space="0" w:color="auto"/>
      </w:divBdr>
    </w:div>
    <w:div w:id="1079329663">
      <w:bodyDiv w:val="1"/>
      <w:marLeft w:val="0"/>
      <w:marRight w:val="0"/>
      <w:marTop w:val="0"/>
      <w:marBottom w:val="0"/>
      <w:divBdr>
        <w:top w:val="none" w:sz="0" w:space="0" w:color="auto"/>
        <w:left w:val="none" w:sz="0" w:space="0" w:color="auto"/>
        <w:bottom w:val="none" w:sz="0" w:space="0" w:color="auto"/>
        <w:right w:val="none" w:sz="0" w:space="0" w:color="auto"/>
      </w:divBdr>
    </w:div>
    <w:div w:id="1091664730">
      <w:bodyDiv w:val="1"/>
      <w:marLeft w:val="0"/>
      <w:marRight w:val="0"/>
      <w:marTop w:val="0"/>
      <w:marBottom w:val="0"/>
      <w:divBdr>
        <w:top w:val="none" w:sz="0" w:space="0" w:color="auto"/>
        <w:left w:val="none" w:sz="0" w:space="0" w:color="auto"/>
        <w:bottom w:val="none" w:sz="0" w:space="0" w:color="auto"/>
        <w:right w:val="none" w:sz="0" w:space="0" w:color="auto"/>
      </w:divBdr>
      <w:divsChild>
        <w:div w:id="151601186">
          <w:marLeft w:val="0"/>
          <w:marRight w:val="0"/>
          <w:marTop w:val="0"/>
          <w:marBottom w:val="0"/>
          <w:divBdr>
            <w:top w:val="none" w:sz="0" w:space="0" w:color="auto"/>
            <w:left w:val="none" w:sz="0" w:space="0" w:color="auto"/>
            <w:bottom w:val="single" w:sz="6" w:space="3" w:color="D0D4D7"/>
            <w:right w:val="none" w:sz="0" w:space="0" w:color="auto"/>
          </w:divBdr>
          <w:divsChild>
            <w:div w:id="138544742">
              <w:marLeft w:val="0"/>
              <w:marRight w:val="0"/>
              <w:marTop w:val="60"/>
              <w:marBottom w:val="0"/>
              <w:divBdr>
                <w:top w:val="single" w:sz="6" w:space="2" w:color="6A7780"/>
                <w:left w:val="single" w:sz="6" w:space="5" w:color="6A7780"/>
                <w:bottom w:val="single" w:sz="6" w:space="2" w:color="6A7780"/>
                <w:right w:val="single" w:sz="6" w:space="5" w:color="6A7780"/>
              </w:divBdr>
            </w:div>
          </w:divsChild>
        </w:div>
      </w:divsChild>
    </w:div>
    <w:div w:id="1093479022">
      <w:bodyDiv w:val="1"/>
      <w:marLeft w:val="0"/>
      <w:marRight w:val="0"/>
      <w:marTop w:val="0"/>
      <w:marBottom w:val="0"/>
      <w:divBdr>
        <w:top w:val="none" w:sz="0" w:space="0" w:color="auto"/>
        <w:left w:val="none" w:sz="0" w:space="0" w:color="auto"/>
        <w:bottom w:val="none" w:sz="0" w:space="0" w:color="auto"/>
        <w:right w:val="none" w:sz="0" w:space="0" w:color="auto"/>
      </w:divBdr>
    </w:div>
    <w:div w:id="1145514751">
      <w:bodyDiv w:val="1"/>
      <w:marLeft w:val="0"/>
      <w:marRight w:val="0"/>
      <w:marTop w:val="0"/>
      <w:marBottom w:val="0"/>
      <w:divBdr>
        <w:top w:val="none" w:sz="0" w:space="0" w:color="auto"/>
        <w:left w:val="none" w:sz="0" w:space="0" w:color="auto"/>
        <w:bottom w:val="none" w:sz="0" w:space="0" w:color="auto"/>
        <w:right w:val="none" w:sz="0" w:space="0" w:color="auto"/>
      </w:divBdr>
    </w:div>
    <w:div w:id="1156384675">
      <w:bodyDiv w:val="1"/>
      <w:marLeft w:val="0"/>
      <w:marRight w:val="0"/>
      <w:marTop w:val="0"/>
      <w:marBottom w:val="0"/>
      <w:divBdr>
        <w:top w:val="none" w:sz="0" w:space="0" w:color="auto"/>
        <w:left w:val="none" w:sz="0" w:space="0" w:color="auto"/>
        <w:bottom w:val="none" w:sz="0" w:space="0" w:color="auto"/>
        <w:right w:val="none" w:sz="0" w:space="0" w:color="auto"/>
      </w:divBdr>
      <w:divsChild>
        <w:div w:id="1394818437">
          <w:marLeft w:val="0"/>
          <w:marRight w:val="0"/>
          <w:marTop w:val="0"/>
          <w:marBottom w:val="0"/>
          <w:divBdr>
            <w:top w:val="none" w:sz="0" w:space="0" w:color="auto"/>
            <w:left w:val="none" w:sz="0" w:space="0" w:color="auto"/>
            <w:bottom w:val="single" w:sz="6" w:space="3" w:color="D0D4D7"/>
            <w:right w:val="none" w:sz="0" w:space="0" w:color="auto"/>
          </w:divBdr>
          <w:divsChild>
            <w:div w:id="1889225442">
              <w:marLeft w:val="0"/>
              <w:marRight w:val="0"/>
              <w:marTop w:val="60"/>
              <w:marBottom w:val="0"/>
              <w:divBdr>
                <w:top w:val="single" w:sz="6" w:space="2" w:color="6A7780"/>
                <w:left w:val="single" w:sz="6" w:space="5" w:color="6A7780"/>
                <w:bottom w:val="single" w:sz="6" w:space="2" w:color="6A7780"/>
                <w:right w:val="single" w:sz="6" w:space="5" w:color="6A7780"/>
              </w:divBdr>
            </w:div>
          </w:divsChild>
        </w:div>
      </w:divsChild>
    </w:div>
    <w:div w:id="1161502662">
      <w:bodyDiv w:val="1"/>
      <w:marLeft w:val="0"/>
      <w:marRight w:val="0"/>
      <w:marTop w:val="0"/>
      <w:marBottom w:val="0"/>
      <w:divBdr>
        <w:top w:val="none" w:sz="0" w:space="0" w:color="auto"/>
        <w:left w:val="none" w:sz="0" w:space="0" w:color="auto"/>
        <w:bottom w:val="none" w:sz="0" w:space="0" w:color="auto"/>
        <w:right w:val="none" w:sz="0" w:space="0" w:color="auto"/>
      </w:divBdr>
      <w:divsChild>
        <w:div w:id="883323316">
          <w:marLeft w:val="0"/>
          <w:marRight w:val="0"/>
          <w:marTop w:val="0"/>
          <w:marBottom w:val="0"/>
          <w:divBdr>
            <w:top w:val="none" w:sz="0" w:space="0" w:color="auto"/>
            <w:left w:val="none" w:sz="0" w:space="0" w:color="auto"/>
            <w:bottom w:val="single" w:sz="6" w:space="3" w:color="D0D4D7"/>
            <w:right w:val="none" w:sz="0" w:space="0" w:color="auto"/>
          </w:divBdr>
          <w:divsChild>
            <w:div w:id="205718947">
              <w:marLeft w:val="0"/>
              <w:marRight w:val="0"/>
              <w:marTop w:val="60"/>
              <w:marBottom w:val="0"/>
              <w:divBdr>
                <w:top w:val="single" w:sz="6" w:space="2" w:color="6A7780"/>
                <w:left w:val="single" w:sz="6" w:space="5" w:color="6A7780"/>
                <w:bottom w:val="single" w:sz="6" w:space="2" w:color="6A7780"/>
                <w:right w:val="single" w:sz="6" w:space="5" w:color="6A7780"/>
              </w:divBdr>
            </w:div>
          </w:divsChild>
        </w:div>
      </w:divsChild>
    </w:div>
    <w:div w:id="1191646086">
      <w:bodyDiv w:val="1"/>
      <w:marLeft w:val="0"/>
      <w:marRight w:val="0"/>
      <w:marTop w:val="0"/>
      <w:marBottom w:val="0"/>
      <w:divBdr>
        <w:top w:val="none" w:sz="0" w:space="0" w:color="auto"/>
        <w:left w:val="none" w:sz="0" w:space="0" w:color="auto"/>
        <w:bottom w:val="none" w:sz="0" w:space="0" w:color="auto"/>
        <w:right w:val="none" w:sz="0" w:space="0" w:color="auto"/>
      </w:divBdr>
    </w:div>
    <w:div w:id="1198739351">
      <w:bodyDiv w:val="1"/>
      <w:marLeft w:val="0"/>
      <w:marRight w:val="0"/>
      <w:marTop w:val="0"/>
      <w:marBottom w:val="0"/>
      <w:divBdr>
        <w:top w:val="none" w:sz="0" w:space="0" w:color="auto"/>
        <w:left w:val="none" w:sz="0" w:space="0" w:color="auto"/>
        <w:bottom w:val="none" w:sz="0" w:space="0" w:color="auto"/>
        <w:right w:val="none" w:sz="0" w:space="0" w:color="auto"/>
      </w:divBdr>
    </w:div>
    <w:div w:id="1237983280">
      <w:bodyDiv w:val="1"/>
      <w:marLeft w:val="0"/>
      <w:marRight w:val="0"/>
      <w:marTop w:val="0"/>
      <w:marBottom w:val="0"/>
      <w:divBdr>
        <w:top w:val="none" w:sz="0" w:space="0" w:color="auto"/>
        <w:left w:val="none" w:sz="0" w:space="0" w:color="auto"/>
        <w:bottom w:val="none" w:sz="0" w:space="0" w:color="auto"/>
        <w:right w:val="none" w:sz="0" w:space="0" w:color="auto"/>
      </w:divBdr>
    </w:div>
    <w:div w:id="1279021412">
      <w:bodyDiv w:val="1"/>
      <w:marLeft w:val="0"/>
      <w:marRight w:val="0"/>
      <w:marTop w:val="0"/>
      <w:marBottom w:val="0"/>
      <w:divBdr>
        <w:top w:val="none" w:sz="0" w:space="0" w:color="auto"/>
        <w:left w:val="none" w:sz="0" w:space="0" w:color="auto"/>
        <w:bottom w:val="none" w:sz="0" w:space="0" w:color="auto"/>
        <w:right w:val="none" w:sz="0" w:space="0" w:color="auto"/>
      </w:divBdr>
    </w:div>
    <w:div w:id="1281716807">
      <w:bodyDiv w:val="1"/>
      <w:marLeft w:val="0"/>
      <w:marRight w:val="0"/>
      <w:marTop w:val="0"/>
      <w:marBottom w:val="0"/>
      <w:divBdr>
        <w:top w:val="none" w:sz="0" w:space="0" w:color="auto"/>
        <w:left w:val="none" w:sz="0" w:space="0" w:color="auto"/>
        <w:bottom w:val="none" w:sz="0" w:space="0" w:color="auto"/>
        <w:right w:val="none" w:sz="0" w:space="0" w:color="auto"/>
      </w:divBdr>
    </w:div>
    <w:div w:id="1293754536">
      <w:bodyDiv w:val="1"/>
      <w:marLeft w:val="0"/>
      <w:marRight w:val="0"/>
      <w:marTop w:val="0"/>
      <w:marBottom w:val="0"/>
      <w:divBdr>
        <w:top w:val="none" w:sz="0" w:space="0" w:color="auto"/>
        <w:left w:val="none" w:sz="0" w:space="0" w:color="auto"/>
        <w:bottom w:val="none" w:sz="0" w:space="0" w:color="auto"/>
        <w:right w:val="none" w:sz="0" w:space="0" w:color="auto"/>
      </w:divBdr>
      <w:divsChild>
        <w:div w:id="74328869">
          <w:marLeft w:val="0"/>
          <w:marRight w:val="0"/>
          <w:marTop w:val="0"/>
          <w:marBottom w:val="0"/>
          <w:divBdr>
            <w:top w:val="none" w:sz="0" w:space="0" w:color="auto"/>
            <w:left w:val="none" w:sz="0" w:space="0" w:color="auto"/>
            <w:bottom w:val="none" w:sz="0" w:space="0" w:color="auto"/>
            <w:right w:val="none" w:sz="0" w:space="0" w:color="auto"/>
          </w:divBdr>
        </w:div>
        <w:div w:id="79178404">
          <w:marLeft w:val="0"/>
          <w:marRight w:val="0"/>
          <w:marTop w:val="0"/>
          <w:marBottom w:val="0"/>
          <w:divBdr>
            <w:top w:val="none" w:sz="0" w:space="0" w:color="auto"/>
            <w:left w:val="none" w:sz="0" w:space="0" w:color="auto"/>
            <w:bottom w:val="none" w:sz="0" w:space="0" w:color="auto"/>
            <w:right w:val="none" w:sz="0" w:space="0" w:color="auto"/>
          </w:divBdr>
        </w:div>
        <w:div w:id="405804195">
          <w:marLeft w:val="0"/>
          <w:marRight w:val="0"/>
          <w:marTop w:val="0"/>
          <w:marBottom w:val="0"/>
          <w:divBdr>
            <w:top w:val="none" w:sz="0" w:space="0" w:color="auto"/>
            <w:left w:val="none" w:sz="0" w:space="0" w:color="auto"/>
            <w:bottom w:val="none" w:sz="0" w:space="0" w:color="auto"/>
            <w:right w:val="none" w:sz="0" w:space="0" w:color="auto"/>
          </w:divBdr>
        </w:div>
        <w:div w:id="466436797">
          <w:marLeft w:val="0"/>
          <w:marRight w:val="0"/>
          <w:marTop w:val="0"/>
          <w:marBottom w:val="0"/>
          <w:divBdr>
            <w:top w:val="none" w:sz="0" w:space="0" w:color="auto"/>
            <w:left w:val="none" w:sz="0" w:space="0" w:color="auto"/>
            <w:bottom w:val="none" w:sz="0" w:space="0" w:color="auto"/>
            <w:right w:val="none" w:sz="0" w:space="0" w:color="auto"/>
          </w:divBdr>
        </w:div>
        <w:div w:id="501359432">
          <w:marLeft w:val="0"/>
          <w:marRight w:val="0"/>
          <w:marTop w:val="0"/>
          <w:marBottom w:val="0"/>
          <w:divBdr>
            <w:top w:val="none" w:sz="0" w:space="0" w:color="auto"/>
            <w:left w:val="none" w:sz="0" w:space="0" w:color="auto"/>
            <w:bottom w:val="none" w:sz="0" w:space="0" w:color="auto"/>
            <w:right w:val="none" w:sz="0" w:space="0" w:color="auto"/>
          </w:divBdr>
        </w:div>
        <w:div w:id="761685198">
          <w:marLeft w:val="0"/>
          <w:marRight w:val="0"/>
          <w:marTop w:val="0"/>
          <w:marBottom w:val="0"/>
          <w:divBdr>
            <w:top w:val="none" w:sz="0" w:space="0" w:color="auto"/>
            <w:left w:val="none" w:sz="0" w:space="0" w:color="auto"/>
            <w:bottom w:val="none" w:sz="0" w:space="0" w:color="auto"/>
            <w:right w:val="none" w:sz="0" w:space="0" w:color="auto"/>
          </w:divBdr>
        </w:div>
        <w:div w:id="769666882">
          <w:marLeft w:val="0"/>
          <w:marRight w:val="0"/>
          <w:marTop w:val="0"/>
          <w:marBottom w:val="0"/>
          <w:divBdr>
            <w:top w:val="none" w:sz="0" w:space="0" w:color="auto"/>
            <w:left w:val="none" w:sz="0" w:space="0" w:color="auto"/>
            <w:bottom w:val="none" w:sz="0" w:space="0" w:color="auto"/>
            <w:right w:val="none" w:sz="0" w:space="0" w:color="auto"/>
          </w:divBdr>
        </w:div>
        <w:div w:id="815071434">
          <w:marLeft w:val="0"/>
          <w:marRight w:val="0"/>
          <w:marTop w:val="0"/>
          <w:marBottom w:val="0"/>
          <w:divBdr>
            <w:top w:val="none" w:sz="0" w:space="0" w:color="auto"/>
            <w:left w:val="none" w:sz="0" w:space="0" w:color="auto"/>
            <w:bottom w:val="none" w:sz="0" w:space="0" w:color="auto"/>
            <w:right w:val="none" w:sz="0" w:space="0" w:color="auto"/>
          </w:divBdr>
        </w:div>
        <w:div w:id="1294024769">
          <w:marLeft w:val="0"/>
          <w:marRight w:val="0"/>
          <w:marTop w:val="0"/>
          <w:marBottom w:val="0"/>
          <w:divBdr>
            <w:top w:val="none" w:sz="0" w:space="0" w:color="auto"/>
            <w:left w:val="none" w:sz="0" w:space="0" w:color="auto"/>
            <w:bottom w:val="none" w:sz="0" w:space="0" w:color="auto"/>
            <w:right w:val="none" w:sz="0" w:space="0" w:color="auto"/>
          </w:divBdr>
        </w:div>
        <w:div w:id="1330716325">
          <w:marLeft w:val="0"/>
          <w:marRight w:val="0"/>
          <w:marTop w:val="0"/>
          <w:marBottom w:val="0"/>
          <w:divBdr>
            <w:top w:val="none" w:sz="0" w:space="0" w:color="auto"/>
            <w:left w:val="none" w:sz="0" w:space="0" w:color="auto"/>
            <w:bottom w:val="none" w:sz="0" w:space="0" w:color="auto"/>
            <w:right w:val="none" w:sz="0" w:space="0" w:color="auto"/>
          </w:divBdr>
        </w:div>
        <w:div w:id="1357776822">
          <w:marLeft w:val="0"/>
          <w:marRight w:val="0"/>
          <w:marTop w:val="0"/>
          <w:marBottom w:val="0"/>
          <w:divBdr>
            <w:top w:val="none" w:sz="0" w:space="0" w:color="auto"/>
            <w:left w:val="none" w:sz="0" w:space="0" w:color="auto"/>
            <w:bottom w:val="none" w:sz="0" w:space="0" w:color="auto"/>
            <w:right w:val="none" w:sz="0" w:space="0" w:color="auto"/>
          </w:divBdr>
        </w:div>
        <w:div w:id="1580285513">
          <w:marLeft w:val="0"/>
          <w:marRight w:val="0"/>
          <w:marTop w:val="0"/>
          <w:marBottom w:val="0"/>
          <w:divBdr>
            <w:top w:val="none" w:sz="0" w:space="0" w:color="auto"/>
            <w:left w:val="none" w:sz="0" w:space="0" w:color="auto"/>
            <w:bottom w:val="none" w:sz="0" w:space="0" w:color="auto"/>
            <w:right w:val="none" w:sz="0" w:space="0" w:color="auto"/>
          </w:divBdr>
        </w:div>
        <w:div w:id="1644381584">
          <w:marLeft w:val="0"/>
          <w:marRight w:val="0"/>
          <w:marTop w:val="0"/>
          <w:marBottom w:val="0"/>
          <w:divBdr>
            <w:top w:val="none" w:sz="0" w:space="0" w:color="auto"/>
            <w:left w:val="none" w:sz="0" w:space="0" w:color="auto"/>
            <w:bottom w:val="none" w:sz="0" w:space="0" w:color="auto"/>
            <w:right w:val="none" w:sz="0" w:space="0" w:color="auto"/>
          </w:divBdr>
        </w:div>
        <w:div w:id="1719626655">
          <w:marLeft w:val="0"/>
          <w:marRight w:val="0"/>
          <w:marTop w:val="0"/>
          <w:marBottom w:val="0"/>
          <w:divBdr>
            <w:top w:val="none" w:sz="0" w:space="0" w:color="auto"/>
            <w:left w:val="none" w:sz="0" w:space="0" w:color="auto"/>
            <w:bottom w:val="none" w:sz="0" w:space="0" w:color="auto"/>
            <w:right w:val="none" w:sz="0" w:space="0" w:color="auto"/>
          </w:divBdr>
        </w:div>
        <w:div w:id="1791975781">
          <w:marLeft w:val="0"/>
          <w:marRight w:val="0"/>
          <w:marTop w:val="0"/>
          <w:marBottom w:val="0"/>
          <w:divBdr>
            <w:top w:val="none" w:sz="0" w:space="0" w:color="auto"/>
            <w:left w:val="none" w:sz="0" w:space="0" w:color="auto"/>
            <w:bottom w:val="none" w:sz="0" w:space="0" w:color="auto"/>
            <w:right w:val="none" w:sz="0" w:space="0" w:color="auto"/>
          </w:divBdr>
        </w:div>
        <w:div w:id="1847400020">
          <w:marLeft w:val="0"/>
          <w:marRight w:val="0"/>
          <w:marTop w:val="0"/>
          <w:marBottom w:val="0"/>
          <w:divBdr>
            <w:top w:val="none" w:sz="0" w:space="0" w:color="auto"/>
            <w:left w:val="none" w:sz="0" w:space="0" w:color="auto"/>
            <w:bottom w:val="none" w:sz="0" w:space="0" w:color="auto"/>
            <w:right w:val="none" w:sz="0" w:space="0" w:color="auto"/>
          </w:divBdr>
        </w:div>
        <w:div w:id="2111588149">
          <w:marLeft w:val="0"/>
          <w:marRight w:val="0"/>
          <w:marTop w:val="0"/>
          <w:marBottom w:val="0"/>
          <w:divBdr>
            <w:top w:val="none" w:sz="0" w:space="0" w:color="auto"/>
            <w:left w:val="none" w:sz="0" w:space="0" w:color="auto"/>
            <w:bottom w:val="none" w:sz="0" w:space="0" w:color="auto"/>
            <w:right w:val="none" w:sz="0" w:space="0" w:color="auto"/>
          </w:divBdr>
        </w:div>
      </w:divsChild>
    </w:div>
    <w:div w:id="1330208764">
      <w:bodyDiv w:val="1"/>
      <w:marLeft w:val="0"/>
      <w:marRight w:val="0"/>
      <w:marTop w:val="0"/>
      <w:marBottom w:val="0"/>
      <w:divBdr>
        <w:top w:val="none" w:sz="0" w:space="0" w:color="auto"/>
        <w:left w:val="none" w:sz="0" w:space="0" w:color="auto"/>
        <w:bottom w:val="none" w:sz="0" w:space="0" w:color="auto"/>
        <w:right w:val="none" w:sz="0" w:space="0" w:color="auto"/>
      </w:divBdr>
    </w:div>
    <w:div w:id="1339650382">
      <w:bodyDiv w:val="1"/>
      <w:marLeft w:val="0"/>
      <w:marRight w:val="0"/>
      <w:marTop w:val="0"/>
      <w:marBottom w:val="0"/>
      <w:divBdr>
        <w:top w:val="none" w:sz="0" w:space="0" w:color="auto"/>
        <w:left w:val="none" w:sz="0" w:space="0" w:color="auto"/>
        <w:bottom w:val="none" w:sz="0" w:space="0" w:color="auto"/>
        <w:right w:val="none" w:sz="0" w:space="0" w:color="auto"/>
      </w:divBdr>
    </w:div>
    <w:div w:id="1341197718">
      <w:bodyDiv w:val="1"/>
      <w:marLeft w:val="0"/>
      <w:marRight w:val="0"/>
      <w:marTop w:val="0"/>
      <w:marBottom w:val="0"/>
      <w:divBdr>
        <w:top w:val="none" w:sz="0" w:space="0" w:color="auto"/>
        <w:left w:val="none" w:sz="0" w:space="0" w:color="auto"/>
        <w:bottom w:val="none" w:sz="0" w:space="0" w:color="auto"/>
        <w:right w:val="none" w:sz="0" w:space="0" w:color="auto"/>
      </w:divBdr>
    </w:div>
    <w:div w:id="1417098212">
      <w:bodyDiv w:val="1"/>
      <w:marLeft w:val="0"/>
      <w:marRight w:val="0"/>
      <w:marTop w:val="0"/>
      <w:marBottom w:val="0"/>
      <w:divBdr>
        <w:top w:val="none" w:sz="0" w:space="0" w:color="auto"/>
        <w:left w:val="none" w:sz="0" w:space="0" w:color="auto"/>
        <w:bottom w:val="none" w:sz="0" w:space="0" w:color="auto"/>
        <w:right w:val="none" w:sz="0" w:space="0" w:color="auto"/>
      </w:divBdr>
    </w:div>
    <w:div w:id="1429229723">
      <w:bodyDiv w:val="1"/>
      <w:marLeft w:val="0"/>
      <w:marRight w:val="0"/>
      <w:marTop w:val="0"/>
      <w:marBottom w:val="0"/>
      <w:divBdr>
        <w:top w:val="none" w:sz="0" w:space="0" w:color="auto"/>
        <w:left w:val="none" w:sz="0" w:space="0" w:color="auto"/>
        <w:bottom w:val="none" w:sz="0" w:space="0" w:color="auto"/>
        <w:right w:val="none" w:sz="0" w:space="0" w:color="auto"/>
      </w:divBdr>
    </w:div>
    <w:div w:id="1460302581">
      <w:bodyDiv w:val="1"/>
      <w:marLeft w:val="0"/>
      <w:marRight w:val="0"/>
      <w:marTop w:val="0"/>
      <w:marBottom w:val="0"/>
      <w:divBdr>
        <w:top w:val="none" w:sz="0" w:space="0" w:color="auto"/>
        <w:left w:val="none" w:sz="0" w:space="0" w:color="auto"/>
        <w:bottom w:val="none" w:sz="0" w:space="0" w:color="auto"/>
        <w:right w:val="none" w:sz="0" w:space="0" w:color="auto"/>
      </w:divBdr>
    </w:div>
    <w:div w:id="1463033182">
      <w:bodyDiv w:val="1"/>
      <w:marLeft w:val="0"/>
      <w:marRight w:val="0"/>
      <w:marTop w:val="0"/>
      <w:marBottom w:val="0"/>
      <w:divBdr>
        <w:top w:val="none" w:sz="0" w:space="0" w:color="auto"/>
        <w:left w:val="none" w:sz="0" w:space="0" w:color="auto"/>
        <w:bottom w:val="none" w:sz="0" w:space="0" w:color="auto"/>
        <w:right w:val="none" w:sz="0" w:space="0" w:color="auto"/>
      </w:divBdr>
    </w:div>
    <w:div w:id="1600791574">
      <w:bodyDiv w:val="1"/>
      <w:marLeft w:val="0"/>
      <w:marRight w:val="0"/>
      <w:marTop w:val="0"/>
      <w:marBottom w:val="0"/>
      <w:divBdr>
        <w:top w:val="none" w:sz="0" w:space="0" w:color="auto"/>
        <w:left w:val="none" w:sz="0" w:space="0" w:color="auto"/>
        <w:bottom w:val="none" w:sz="0" w:space="0" w:color="auto"/>
        <w:right w:val="none" w:sz="0" w:space="0" w:color="auto"/>
      </w:divBdr>
      <w:divsChild>
        <w:div w:id="1911185150">
          <w:marLeft w:val="0"/>
          <w:marRight w:val="0"/>
          <w:marTop w:val="0"/>
          <w:marBottom w:val="0"/>
          <w:divBdr>
            <w:top w:val="none" w:sz="0" w:space="0" w:color="auto"/>
            <w:left w:val="none" w:sz="0" w:space="0" w:color="auto"/>
            <w:bottom w:val="single" w:sz="6" w:space="3" w:color="D0D4D7"/>
            <w:right w:val="none" w:sz="0" w:space="0" w:color="auto"/>
          </w:divBdr>
          <w:divsChild>
            <w:div w:id="127481065">
              <w:marLeft w:val="0"/>
              <w:marRight w:val="0"/>
              <w:marTop w:val="60"/>
              <w:marBottom w:val="0"/>
              <w:divBdr>
                <w:top w:val="single" w:sz="6" w:space="2" w:color="6A7780"/>
                <w:left w:val="single" w:sz="6" w:space="5" w:color="6A7780"/>
                <w:bottom w:val="single" w:sz="6" w:space="2" w:color="6A7780"/>
                <w:right w:val="single" w:sz="6" w:space="5" w:color="6A7780"/>
              </w:divBdr>
            </w:div>
          </w:divsChild>
        </w:div>
      </w:divsChild>
    </w:div>
    <w:div w:id="1608270341">
      <w:bodyDiv w:val="1"/>
      <w:marLeft w:val="0"/>
      <w:marRight w:val="0"/>
      <w:marTop w:val="0"/>
      <w:marBottom w:val="0"/>
      <w:divBdr>
        <w:top w:val="none" w:sz="0" w:space="0" w:color="auto"/>
        <w:left w:val="none" w:sz="0" w:space="0" w:color="auto"/>
        <w:bottom w:val="none" w:sz="0" w:space="0" w:color="auto"/>
        <w:right w:val="none" w:sz="0" w:space="0" w:color="auto"/>
      </w:divBdr>
    </w:div>
    <w:div w:id="1616865261">
      <w:bodyDiv w:val="1"/>
      <w:marLeft w:val="0"/>
      <w:marRight w:val="0"/>
      <w:marTop w:val="0"/>
      <w:marBottom w:val="0"/>
      <w:divBdr>
        <w:top w:val="none" w:sz="0" w:space="0" w:color="auto"/>
        <w:left w:val="none" w:sz="0" w:space="0" w:color="auto"/>
        <w:bottom w:val="none" w:sz="0" w:space="0" w:color="auto"/>
        <w:right w:val="none" w:sz="0" w:space="0" w:color="auto"/>
      </w:divBdr>
    </w:div>
    <w:div w:id="1652830536">
      <w:bodyDiv w:val="1"/>
      <w:marLeft w:val="0"/>
      <w:marRight w:val="0"/>
      <w:marTop w:val="0"/>
      <w:marBottom w:val="0"/>
      <w:divBdr>
        <w:top w:val="none" w:sz="0" w:space="0" w:color="auto"/>
        <w:left w:val="none" w:sz="0" w:space="0" w:color="auto"/>
        <w:bottom w:val="none" w:sz="0" w:space="0" w:color="auto"/>
        <w:right w:val="none" w:sz="0" w:space="0" w:color="auto"/>
      </w:divBdr>
    </w:div>
    <w:div w:id="1654068634">
      <w:bodyDiv w:val="1"/>
      <w:marLeft w:val="0"/>
      <w:marRight w:val="0"/>
      <w:marTop w:val="0"/>
      <w:marBottom w:val="0"/>
      <w:divBdr>
        <w:top w:val="none" w:sz="0" w:space="0" w:color="auto"/>
        <w:left w:val="none" w:sz="0" w:space="0" w:color="auto"/>
        <w:bottom w:val="none" w:sz="0" w:space="0" w:color="auto"/>
        <w:right w:val="none" w:sz="0" w:space="0" w:color="auto"/>
      </w:divBdr>
    </w:div>
    <w:div w:id="1678574127">
      <w:bodyDiv w:val="1"/>
      <w:marLeft w:val="0"/>
      <w:marRight w:val="0"/>
      <w:marTop w:val="0"/>
      <w:marBottom w:val="0"/>
      <w:divBdr>
        <w:top w:val="none" w:sz="0" w:space="0" w:color="auto"/>
        <w:left w:val="none" w:sz="0" w:space="0" w:color="auto"/>
        <w:bottom w:val="none" w:sz="0" w:space="0" w:color="auto"/>
        <w:right w:val="none" w:sz="0" w:space="0" w:color="auto"/>
      </w:divBdr>
    </w:div>
    <w:div w:id="1758482680">
      <w:bodyDiv w:val="1"/>
      <w:marLeft w:val="0"/>
      <w:marRight w:val="0"/>
      <w:marTop w:val="0"/>
      <w:marBottom w:val="0"/>
      <w:divBdr>
        <w:top w:val="none" w:sz="0" w:space="0" w:color="auto"/>
        <w:left w:val="none" w:sz="0" w:space="0" w:color="auto"/>
        <w:bottom w:val="none" w:sz="0" w:space="0" w:color="auto"/>
        <w:right w:val="none" w:sz="0" w:space="0" w:color="auto"/>
      </w:divBdr>
    </w:div>
    <w:div w:id="1790318663">
      <w:bodyDiv w:val="1"/>
      <w:marLeft w:val="0"/>
      <w:marRight w:val="0"/>
      <w:marTop w:val="0"/>
      <w:marBottom w:val="0"/>
      <w:divBdr>
        <w:top w:val="none" w:sz="0" w:space="0" w:color="auto"/>
        <w:left w:val="none" w:sz="0" w:space="0" w:color="auto"/>
        <w:bottom w:val="none" w:sz="0" w:space="0" w:color="auto"/>
        <w:right w:val="none" w:sz="0" w:space="0" w:color="auto"/>
      </w:divBdr>
    </w:div>
    <w:div w:id="1795781571">
      <w:bodyDiv w:val="1"/>
      <w:marLeft w:val="0"/>
      <w:marRight w:val="0"/>
      <w:marTop w:val="0"/>
      <w:marBottom w:val="0"/>
      <w:divBdr>
        <w:top w:val="none" w:sz="0" w:space="0" w:color="auto"/>
        <w:left w:val="none" w:sz="0" w:space="0" w:color="auto"/>
        <w:bottom w:val="none" w:sz="0" w:space="0" w:color="auto"/>
        <w:right w:val="none" w:sz="0" w:space="0" w:color="auto"/>
      </w:divBdr>
    </w:div>
    <w:div w:id="1806195715">
      <w:bodyDiv w:val="1"/>
      <w:marLeft w:val="0"/>
      <w:marRight w:val="0"/>
      <w:marTop w:val="0"/>
      <w:marBottom w:val="0"/>
      <w:divBdr>
        <w:top w:val="none" w:sz="0" w:space="0" w:color="auto"/>
        <w:left w:val="none" w:sz="0" w:space="0" w:color="auto"/>
        <w:bottom w:val="none" w:sz="0" w:space="0" w:color="auto"/>
        <w:right w:val="none" w:sz="0" w:space="0" w:color="auto"/>
      </w:divBdr>
      <w:divsChild>
        <w:div w:id="248387779">
          <w:marLeft w:val="0"/>
          <w:marRight w:val="0"/>
          <w:marTop w:val="0"/>
          <w:marBottom w:val="0"/>
          <w:divBdr>
            <w:top w:val="none" w:sz="0" w:space="0" w:color="auto"/>
            <w:left w:val="none" w:sz="0" w:space="0" w:color="auto"/>
            <w:bottom w:val="none" w:sz="0" w:space="0" w:color="auto"/>
            <w:right w:val="none" w:sz="0" w:space="0" w:color="auto"/>
          </w:divBdr>
        </w:div>
        <w:div w:id="261037667">
          <w:marLeft w:val="0"/>
          <w:marRight w:val="0"/>
          <w:marTop w:val="0"/>
          <w:marBottom w:val="0"/>
          <w:divBdr>
            <w:top w:val="none" w:sz="0" w:space="0" w:color="auto"/>
            <w:left w:val="none" w:sz="0" w:space="0" w:color="auto"/>
            <w:bottom w:val="none" w:sz="0" w:space="0" w:color="auto"/>
            <w:right w:val="none" w:sz="0" w:space="0" w:color="auto"/>
          </w:divBdr>
        </w:div>
        <w:div w:id="321086777">
          <w:marLeft w:val="0"/>
          <w:marRight w:val="0"/>
          <w:marTop w:val="0"/>
          <w:marBottom w:val="0"/>
          <w:divBdr>
            <w:top w:val="none" w:sz="0" w:space="0" w:color="auto"/>
            <w:left w:val="none" w:sz="0" w:space="0" w:color="auto"/>
            <w:bottom w:val="none" w:sz="0" w:space="0" w:color="auto"/>
            <w:right w:val="none" w:sz="0" w:space="0" w:color="auto"/>
          </w:divBdr>
        </w:div>
        <w:div w:id="422185958">
          <w:marLeft w:val="0"/>
          <w:marRight w:val="0"/>
          <w:marTop w:val="0"/>
          <w:marBottom w:val="0"/>
          <w:divBdr>
            <w:top w:val="none" w:sz="0" w:space="0" w:color="auto"/>
            <w:left w:val="none" w:sz="0" w:space="0" w:color="auto"/>
            <w:bottom w:val="none" w:sz="0" w:space="0" w:color="auto"/>
            <w:right w:val="none" w:sz="0" w:space="0" w:color="auto"/>
          </w:divBdr>
        </w:div>
        <w:div w:id="1289699102">
          <w:marLeft w:val="0"/>
          <w:marRight w:val="0"/>
          <w:marTop w:val="0"/>
          <w:marBottom w:val="0"/>
          <w:divBdr>
            <w:top w:val="none" w:sz="0" w:space="0" w:color="auto"/>
            <w:left w:val="none" w:sz="0" w:space="0" w:color="auto"/>
            <w:bottom w:val="none" w:sz="0" w:space="0" w:color="auto"/>
            <w:right w:val="none" w:sz="0" w:space="0" w:color="auto"/>
          </w:divBdr>
        </w:div>
        <w:div w:id="1356882550">
          <w:marLeft w:val="0"/>
          <w:marRight w:val="0"/>
          <w:marTop w:val="0"/>
          <w:marBottom w:val="0"/>
          <w:divBdr>
            <w:top w:val="none" w:sz="0" w:space="0" w:color="auto"/>
            <w:left w:val="none" w:sz="0" w:space="0" w:color="auto"/>
            <w:bottom w:val="none" w:sz="0" w:space="0" w:color="auto"/>
            <w:right w:val="none" w:sz="0" w:space="0" w:color="auto"/>
          </w:divBdr>
        </w:div>
        <w:div w:id="1778132595">
          <w:marLeft w:val="0"/>
          <w:marRight w:val="0"/>
          <w:marTop w:val="0"/>
          <w:marBottom w:val="0"/>
          <w:divBdr>
            <w:top w:val="none" w:sz="0" w:space="0" w:color="auto"/>
            <w:left w:val="none" w:sz="0" w:space="0" w:color="auto"/>
            <w:bottom w:val="none" w:sz="0" w:space="0" w:color="auto"/>
            <w:right w:val="none" w:sz="0" w:space="0" w:color="auto"/>
          </w:divBdr>
        </w:div>
        <w:div w:id="1812016585">
          <w:marLeft w:val="0"/>
          <w:marRight w:val="0"/>
          <w:marTop w:val="0"/>
          <w:marBottom w:val="0"/>
          <w:divBdr>
            <w:top w:val="none" w:sz="0" w:space="0" w:color="auto"/>
            <w:left w:val="none" w:sz="0" w:space="0" w:color="auto"/>
            <w:bottom w:val="none" w:sz="0" w:space="0" w:color="auto"/>
            <w:right w:val="none" w:sz="0" w:space="0" w:color="auto"/>
          </w:divBdr>
        </w:div>
        <w:div w:id="1820682623">
          <w:marLeft w:val="0"/>
          <w:marRight w:val="0"/>
          <w:marTop w:val="0"/>
          <w:marBottom w:val="0"/>
          <w:divBdr>
            <w:top w:val="none" w:sz="0" w:space="0" w:color="auto"/>
            <w:left w:val="none" w:sz="0" w:space="0" w:color="auto"/>
            <w:bottom w:val="none" w:sz="0" w:space="0" w:color="auto"/>
            <w:right w:val="none" w:sz="0" w:space="0" w:color="auto"/>
          </w:divBdr>
        </w:div>
        <w:div w:id="1861628050">
          <w:marLeft w:val="0"/>
          <w:marRight w:val="0"/>
          <w:marTop w:val="0"/>
          <w:marBottom w:val="0"/>
          <w:divBdr>
            <w:top w:val="none" w:sz="0" w:space="0" w:color="auto"/>
            <w:left w:val="none" w:sz="0" w:space="0" w:color="auto"/>
            <w:bottom w:val="none" w:sz="0" w:space="0" w:color="auto"/>
            <w:right w:val="none" w:sz="0" w:space="0" w:color="auto"/>
          </w:divBdr>
        </w:div>
        <w:div w:id="2081442904">
          <w:marLeft w:val="0"/>
          <w:marRight w:val="0"/>
          <w:marTop w:val="0"/>
          <w:marBottom w:val="0"/>
          <w:divBdr>
            <w:top w:val="none" w:sz="0" w:space="0" w:color="auto"/>
            <w:left w:val="none" w:sz="0" w:space="0" w:color="auto"/>
            <w:bottom w:val="none" w:sz="0" w:space="0" w:color="auto"/>
            <w:right w:val="none" w:sz="0" w:space="0" w:color="auto"/>
          </w:divBdr>
        </w:div>
      </w:divsChild>
    </w:div>
    <w:div w:id="1840540654">
      <w:bodyDiv w:val="1"/>
      <w:marLeft w:val="0"/>
      <w:marRight w:val="0"/>
      <w:marTop w:val="0"/>
      <w:marBottom w:val="0"/>
      <w:divBdr>
        <w:top w:val="none" w:sz="0" w:space="0" w:color="auto"/>
        <w:left w:val="none" w:sz="0" w:space="0" w:color="auto"/>
        <w:bottom w:val="none" w:sz="0" w:space="0" w:color="auto"/>
        <w:right w:val="none" w:sz="0" w:space="0" w:color="auto"/>
      </w:divBdr>
      <w:divsChild>
        <w:div w:id="1950889773">
          <w:marLeft w:val="0"/>
          <w:marRight w:val="0"/>
          <w:marTop w:val="0"/>
          <w:marBottom w:val="0"/>
          <w:divBdr>
            <w:top w:val="none" w:sz="0" w:space="0" w:color="auto"/>
            <w:left w:val="none" w:sz="0" w:space="0" w:color="auto"/>
            <w:bottom w:val="single" w:sz="6" w:space="3" w:color="D0D4D7"/>
            <w:right w:val="none" w:sz="0" w:space="0" w:color="auto"/>
          </w:divBdr>
          <w:divsChild>
            <w:div w:id="212543130">
              <w:marLeft w:val="0"/>
              <w:marRight w:val="0"/>
              <w:marTop w:val="60"/>
              <w:marBottom w:val="0"/>
              <w:divBdr>
                <w:top w:val="single" w:sz="6" w:space="2" w:color="6A7780"/>
                <w:left w:val="single" w:sz="6" w:space="5" w:color="6A7780"/>
                <w:bottom w:val="single" w:sz="6" w:space="2" w:color="6A7780"/>
                <w:right w:val="single" w:sz="6" w:space="5" w:color="6A7780"/>
              </w:divBdr>
            </w:div>
          </w:divsChild>
        </w:div>
      </w:divsChild>
    </w:div>
    <w:div w:id="1850362918">
      <w:bodyDiv w:val="1"/>
      <w:marLeft w:val="0"/>
      <w:marRight w:val="0"/>
      <w:marTop w:val="0"/>
      <w:marBottom w:val="0"/>
      <w:divBdr>
        <w:top w:val="none" w:sz="0" w:space="0" w:color="auto"/>
        <w:left w:val="none" w:sz="0" w:space="0" w:color="auto"/>
        <w:bottom w:val="none" w:sz="0" w:space="0" w:color="auto"/>
        <w:right w:val="none" w:sz="0" w:space="0" w:color="auto"/>
      </w:divBdr>
    </w:div>
    <w:div w:id="1873150423">
      <w:bodyDiv w:val="1"/>
      <w:marLeft w:val="0"/>
      <w:marRight w:val="0"/>
      <w:marTop w:val="0"/>
      <w:marBottom w:val="0"/>
      <w:divBdr>
        <w:top w:val="none" w:sz="0" w:space="0" w:color="auto"/>
        <w:left w:val="none" w:sz="0" w:space="0" w:color="auto"/>
        <w:bottom w:val="none" w:sz="0" w:space="0" w:color="auto"/>
        <w:right w:val="none" w:sz="0" w:space="0" w:color="auto"/>
      </w:divBdr>
    </w:div>
    <w:div w:id="1880974951">
      <w:bodyDiv w:val="1"/>
      <w:marLeft w:val="0"/>
      <w:marRight w:val="0"/>
      <w:marTop w:val="0"/>
      <w:marBottom w:val="0"/>
      <w:divBdr>
        <w:top w:val="none" w:sz="0" w:space="0" w:color="auto"/>
        <w:left w:val="none" w:sz="0" w:space="0" w:color="auto"/>
        <w:bottom w:val="none" w:sz="0" w:space="0" w:color="auto"/>
        <w:right w:val="none" w:sz="0" w:space="0" w:color="auto"/>
      </w:divBdr>
    </w:div>
    <w:div w:id="1903372687">
      <w:bodyDiv w:val="1"/>
      <w:marLeft w:val="0"/>
      <w:marRight w:val="0"/>
      <w:marTop w:val="0"/>
      <w:marBottom w:val="0"/>
      <w:divBdr>
        <w:top w:val="none" w:sz="0" w:space="0" w:color="auto"/>
        <w:left w:val="none" w:sz="0" w:space="0" w:color="auto"/>
        <w:bottom w:val="none" w:sz="0" w:space="0" w:color="auto"/>
        <w:right w:val="none" w:sz="0" w:space="0" w:color="auto"/>
      </w:divBdr>
    </w:div>
    <w:div w:id="1943875293">
      <w:bodyDiv w:val="1"/>
      <w:marLeft w:val="0"/>
      <w:marRight w:val="0"/>
      <w:marTop w:val="0"/>
      <w:marBottom w:val="0"/>
      <w:divBdr>
        <w:top w:val="none" w:sz="0" w:space="0" w:color="auto"/>
        <w:left w:val="none" w:sz="0" w:space="0" w:color="auto"/>
        <w:bottom w:val="none" w:sz="0" w:space="0" w:color="auto"/>
        <w:right w:val="none" w:sz="0" w:space="0" w:color="auto"/>
      </w:divBdr>
      <w:divsChild>
        <w:div w:id="1243415383">
          <w:marLeft w:val="0"/>
          <w:marRight w:val="0"/>
          <w:marTop w:val="0"/>
          <w:marBottom w:val="0"/>
          <w:divBdr>
            <w:top w:val="none" w:sz="0" w:space="0" w:color="auto"/>
            <w:left w:val="none" w:sz="0" w:space="0" w:color="auto"/>
            <w:bottom w:val="single" w:sz="6" w:space="3" w:color="D0D4D7"/>
            <w:right w:val="none" w:sz="0" w:space="0" w:color="auto"/>
          </w:divBdr>
          <w:divsChild>
            <w:div w:id="304698849">
              <w:marLeft w:val="0"/>
              <w:marRight w:val="0"/>
              <w:marTop w:val="60"/>
              <w:marBottom w:val="0"/>
              <w:divBdr>
                <w:top w:val="single" w:sz="6" w:space="2" w:color="6A7780"/>
                <w:left w:val="single" w:sz="6" w:space="5" w:color="6A7780"/>
                <w:bottom w:val="single" w:sz="6" w:space="2" w:color="6A7780"/>
                <w:right w:val="single" w:sz="6" w:space="5" w:color="6A7780"/>
              </w:divBdr>
            </w:div>
          </w:divsChild>
        </w:div>
      </w:divsChild>
    </w:div>
    <w:div w:id="1988434043">
      <w:bodyDiv w:val="1"/>
      <w:marLeft w:val="0"/>
      <w:marRight w:val="0"/>
      <w:marTop w:val="0"/>
      <w:marBottom w:val="0"/>
      <w:divBdr>
        <w:top w:val="none" w:sz="0" w:space="0" w:color="auto"/>
        <w:left w:val="none" w:sz="0" w:space="0" w:color="auto"/>
        <w:bottom w:val="none" w:sz="0" w:space="0" w:color="auto"/>
        <w:right w:val="none" w:sz="0" w:space="0" w:color="auto"/>
      </w:divBdr>
    </w:div>
    <w:div w:id="1989243326">
      <w:bodyDiv w:val="1"/>
      <w:marLeft w:val="0"/>
      <w:marRight w:val="0"/>
      <w:marTop w:val="0"/>
      <w:marBottom w:val="0"/>
      <w:divBdr>
        <w:top w:val="none" w:sz="0" w:space="0" w:color="auto"/>
        <w:left w:val="none" w:sz="0" w:space="0" w:color="auto"/>
        <w:bottom w:val="none" w:sz="0" w:space="0" w:color="auto"/>
        <w:right w:val="none" w:sz="0" w:space="0" w:color="auto"/>
      </w:divBdr>
      <w:divsChild>
        <w:div w:id="80807129">
          <w:marLeft w:val="0"/>
          <w:marRight w:val="0"/>
          <w:marTop w:val="0"/>
          <w:marBottom w:val="0"/>
          <w:divBdr>
            <w:top w:val="none" w:sz="0" w:space="0" w:color="auto"/>
            <w:left w:val="none" w:sz="0" w:space="0" w:color="auto"/>
            <w:bottom w:val="none" w:sz="0" w:space="0" w:color="auto"/>
            <w:right w:val="none" w:sz="0" w:space="0" w:color="auto"/>
          </w:divBdr>
        </w:div>
        <w:div w:id="338625885">
          <w:marLeft w:val="0"/>
          <w:marRight w:val="0"/>
          <w:marTop w:val="0"/>
          <w:marBottom w:val="0"/>
          <w:divBdr>
            <w:top w:val="none" w:sz="0" w:space="0" w:color="auto"/>
            <w:left w:val="none" w:sz="0" w:space="0" w:color="auto"/>
            <w:bottom w:val="none" w:sz="0" w:space="0" w:color="auto"/>
            <w:right w:val="none" w:sz="0" w:space="0" w:color="auto"/>
          </w:divBdr>
        </w:div>
        <w:div w:id="747196340">
          <w:marLeft w:val="0"/>
          <w:marRight w:val="0"/>
          <w:marTop w:val="0"/>
          <w:marBottom w:val="0"/>
          <w:divBdr>
            <w:top w:val="none" w:sz="0" w:space="0" w:color="auto"/>
            <w:left w:val="none" w:sz="0" w:space="0" w:color="auto"/>
            <w:bottom w:val="none" w:sz="0" w:space="0" w:color="auto"/>
            <w:right w:val="none" w:sz="0" w:space="0" w:color="auto"/>
          </w:divBdr>
        </w:div>
        <w:div w:id="1009911948">
          <w:marLeft w:val="0"/>
          <w:marRight w:val="0"/>
          <w:marTop w:val="0"/>
          <w:marBottom w:val="0"/>
          <w:divBdr>
            <w:top w:val="none" w:sz="0" w:space="0" w:color="auto"/>
            <w:left w:val="none" w:sz="0" w:space="0" w:color="auto"/>
            <w:bottom w:val="none" w:sz="0" w:space="0" w:color="auto"/>
            <w:right w:val="none" w:sz="0" w:space="0" w:color="auto"/>
          </w:divBdr>
        </w:div>
        <w:div w:id="1256402517">
          <w:marLeft w:val="0"/>
          <w:marRight w:val="0"/>
          <w:marTop w:val="0"/>
          <w:marBottom w:val="0"/>
          <w:divBdr>
            <w:top w:val="none" w:sz="0" w:space="0" w:color="auto"/>
            <w:left w:val="none" w:sz="0" w:space="0" w:color="auto"/>
            <w:bottom w:val="none" w:sz="0" w:space="0" w:color="auto"/>
            <w:right w:val="none" w:sz="0" w:space="0" w:color="auto"/>
          </w:divBdr>
        </w:div>
        <w:div w:id="1363167282">
          <w:marLeft w:val="0"/>
          <w:marRight w:val="0"/>
          <w:marTop w:val="0"/>
          <w:marBottom w:val="0"/>
          <w:divBdr>
            <w:top w:val="none" w:sz="0" w:space="0" w:color="auto"/>
            <w:left w:val="none" w:sz="0" w:space="0" w:color="auto"/>
            <w:bottom w:val="none" w:sz="0" w:space="0" w:color="auto"/>
            <w:right w:val="none" w:sz="0" w:space="0" w:color="auto"/>
          </w:divBdr>
        </w:div>
        <w:div w:id="1366756046">
          <w:marLeft w:val="0"/>
          <w:marRight w:val="0"/>
          <w:marTop w:val="0"/>
          <w:marBottom w:val="0"/>
          <w:divBdr>
            <w:top w:val="none" w:sz="0" w:space="0" w:color="auto"/>
            <w:left w:val="none" w:sz="0" w:space="0" w:color="auto"/>
            <w:bottom w:val="none" w:sz="0" w:space="0" w:color="auto"/>
            <w:right w:val="none" w:sz="0" w:space="0" w:color="auto"/>
          </w:divBdr>
        </w:div>
        <w:div w:id="1765102711">
          <w:marLeft w:val="0"/>
          <w:marRight w:val="0"/>
          <w:marTop w:val="0"/>
          <w:marBottom w:val="0"/>
          <w:divBdr>
            <w:top w:val="none" w:sz="0" w:space="0" w:color="auto"/>
            <w:left w:val="none" w:sz="0" w:space="0" w:color="auto"/>
            <w:bottom w:val="none" w:sz="0" w:space="0" w:color="auto"/>
            <w:right w:val="none" w:sz="0" w:space="0" w:color="auto"/>
          </w:divBdr>
        </w:div>
        <w:div w:id="2038264895">
          <w:marLeft w:val="0"/>
          <w:marRight w:val="0"/>
          <w:marTop w:val="0"/>
          <w:marBottom w:val="0"/>
          <w:divBdr>
            <w:top w:val="none" w:sz="0" w:space="0" w:color="auto"/>
            <w:left w:val="none" w:sz="0" w:space="0" w:color="auto"/>
            <w:bottom w:val="none" w:sz="0" w:space="0" w:color="auto"/>
            <w:right w:val="none" w:sz="0" w:space="0" w:color="auto"/>
          </w:divBdr>
        </w:div>
      </w:divsChild>
    </w:div>
    <w:div w:id="2050372933">
      <w:bodyDiv w:val="1"/>
      <w:marLeft w:val="0"/>
      <w:marRight w:val="0"/>
      <w:marTop w:val="0"/>
      <w:marBottom w:val="0"/>
      <w:divBdr>
        <w:top w:val="none" w:sz="0" w:space="0" w:color="auto"/>
        <w:left w:val="none" w:sz="0" w:space="0" w:color="auto"/>
        <w:bottom w:val="none" w:sz="0" w:space="0" w:color="auto"/>
        <w:right w:val="none" w:sz="0" w:space="0" w:color="auto"/>
      </w:divBdr>
    </w:div>
    <w:div w:id="2057854218">
      <w:bodyDiv w:val="1"/>
      <w:marLeft w:val="0"/>
      <w:marRight w:val="0"/>
      <w:marTop w:val="0"/>
      <w:marBottom w:val="0"/>
      <w:divBdr>
        <w:top w:val="none" w:sz="0" w:space="0" w:color="auto"/>
        <w:left w:val="none" w:sz="0" w:space="0" w:color="auto"/>
        <w:bottom w:val="none" w:sz="0" w:space="0" w:color="auto"/>
        <w:right w:val="none" w:sz="0" w:space="0" w:color="auto"/>
      </w:divBdr>
    </w:div>
    <w:div w:id="2080975725">
      <w:bodyDiv w:val="1"/>
      <w:marLeft w:val="0"/>
      <w:marRight w:val="0"/>
      <w:marTop w:val="0"/>
      <w:marBottom w:val="0"/>
      <w:divBdr>
        <w:top w:val="none" w:sz="0" w:space="0" w:color="auto"/>
        <w:left w:val="none" w:sz="0" w:space="0" w:color="auto"/>
        <w:bottom w:val="none" w:sz="0" w:space="0" w:color="auto"/>
        <w:right w:val="none" w:sz="0" w:space="0" w:color="auto"/>
      </w:divBdr>
    </w:div>
    <w:div w:id="2115515737">
      <w:bodyDiv w:val="1"/>
      <w:marLeft w:val="0"/>
      <w:marRight w:val="0"/>
      <w:marTop w:val="0"/>
      <w:marBottom w:val="0"/>
      <w:divBdr>
        <w:top w:val="none" w:sz="0" w:space="0" w:color="auto"/>
        <w:left w:val="none" w:sz="0" w:space="0" w:color="auto"/>
        <w:bottom w:val="none" w:sz="0" w:space="0" w:color="auto"/>
        <w:right w:val="none" w:sz="0" w:space="0" w:color="auto"/>
      </w:divBdr>
      <w:divsChild>
        <w:div w:id="11079126">
          <w:marLeft w:val="0"/>
          <w:marRight w:val="0"/>
          <w:marTop w:val="0"/>
          <w:marBottom w:val="0"/>
          <w:divBdr>
            <w:top w:val="none" w:sz="0" w:space="0" w:color="auto"/>
            <w:left w:val="none" w:sz="0" w:space="0" w:color="auto"/>
            <w:bottom w:val="single" w:sz="6" w:space="3" w:color="D0D4D7"/>
            <w:right w:val="none" w:sz="0" w:space="0" w:color="auto"/>
          </w:divBdr>
          <w:divsChild>
            <w:div w:id="153844348">
              <w:marLeft w:val="0"/>
              <w:marRight w:val="0"/>
              <w:marTop w:val="60"/>
              <w:marBottom w:val="0"/>
              <w:divBdr>
                <w:top w:val="single" w:sz="6" w:space="2" w:color="6A7780"/>
                <w:left w:val="single" w:sz="6" w:space="5" w:color="6A7780"/>
                <w:bottom w:val="single" w:sz="6" w:space="2" w:color="6A7780"/>
                <w:right w:val="single" w:sz="6" w:space="5" w:color="6A7780"/>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gasb.org" TargetMode="External"/><Relationship Id="rId18" Type="http://schemas.openxmlformats.org/officeDocument/2006/relationships/hyperlink" Target="http://icma.org/en/icma/knowledge_network/documents/kn/Document/301359/Valuing_Liabilities_in_State_and_Local_Plans" TargetMode="External"/><Relationship Id="rId26" Type="http://schemas.openxmlformats.org/officeDocument/2006/relationships/chart" Target="charts/chart2.xml"/><Relationship Id="rId3" Type="http://schemas.openxmlformats.org/officeDocument/2006/relationships/styles" Target="styles.xml"/><Relationship Id="rId21" Type="http://schemas.openxmlformats.org/officeDocument/2006/relationships/hyperlink" Target="http://www.pewtrusts.org/~/media/legacy/uploadedfiles/pcs_assets/2012/PewPensionsUpdatepdf.pdf" TargetMode="External"/><Relationship Id="rId7" Type="http://schemas.openxmlformats.org/officeDocument/2006/relationships/footnotes" Target="footnotes.xml"/><Relationship Id="rId12" Type="http://schemas.openxmlformats.org/officeDocument/2006/relationships/hyperlink" Target="http://www.ers.ga.gov/plans/ers/ersactuarial.html" TargetMode="External"/><Relationship Id="rId17" Type="http://schemas.openxmlformats.org/officeDocument/2006/relationships/hyperlink" Target="http://www.ncsl.org/documents/summit/summit2013/online-resources/Moody-Adjusted-Pension-Liability-Medians.pdf" TargetMode="External"/><Relationship Id="rId25" Type="http://schemas.openxmlformats.org/officeDocument/2006/relationships/chart" Target="charts/chart1.xml"/><Relationship Id="rId2" Type="http://schemas.openxmlformats.org/officeDocument/2006/relationships/numbering" Target="numbering.xml"/><Relationship Id="rId16" Type="http://schemas.openxmlformats.org/officeDocument/2006/relationships/hyperlink" Target="http://www.philly.com/philly/blogs/cityhall/Nutter_Announces_Pension_Savings_Plan.html" TargetMode="External"/><Relationship Id="rId20" Type="http://schemas.openxmlformats.org/officeDocument/2006/relationships/hyperlink" Target="http://trs.illinois.gov/pubs/cafr/FY2013/fy13.pdf"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statebudgetsolutions.org/publications/detail/public-sector-pensions-how-well-funded-are-they-really" TargetMode="External"/><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www.gasb.org" TargetMode="External"/><Relationship Id="rId23" Type="http://schemas.openxmlformats.org/officeDocument/2006/relationships/header" Target="header1.xml"/><Relationship Id="rId28" Type="http://schemas.openxmlformats.org/officeDocument/2006/relationships/image" Target="media/image2.png"/><Relationship Id="rId10" Type="http://schemas.openxmlformats.org/officeDocument/2006/relationships/hyperlink" Target="http://www.afscme.org/issues/pension-security/resources/document/AFSCME-FactSheet_Pensions.pdf" TargetMode="External"/><Relationship Id="rId19" Type="http://schemas.openxmlformats.org/officeDocument/2006/relationships/hyperlink" Target="http://crr.bc.edu/briefs/the-funding-of-state-and-local-pensions-2012-2016/" TargetMode="External"/><Relationship Id="rId4" Type="http://schemas.microsoft.com/office/2007/relationships/stylesWithEffects" Target="stylesWithEffects.xml"/><Relationship Id="rId9" Type="http://schemas.openxmlformats.org/officeDocument/2006/relationships/hyperlink" Target="http://www.actuary.org/pdf/pension/fundamentals_0704.pdf" TargetMode="External"/><Relationship Id="rId14" Type="http://schemas.openxmlformats.org/officeDocument/2006/relationships/hyperlink" Target="http://www.gasb.org" TargetMode="External"/><Relationship Id="rId22" Type="http://schemas.openxmlformats.org/officeDocument/2006/relationships/hyperlink" Target="https://archive.org/details/pensioce00unit" TargetMode="External"/><Relationship Id="rId27" Type="http://schemas.openxmlformats.org/officeDocument/2006/relationships/image" Target="media/image1.png"/><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dm121623\Dropbox\PensionSimulation\salarygrowthrate.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dm121623\Dropbox\PensionSimulation\salarygrowthrate.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0"/>
    <c:plotArea>
      <c:layout/>
      <c:stockChart>
        <c:ser>
          <c:idx val="0"/>
          <c:order val="0"/>
          <c:spPr>
            <a:ln w="28575">
              <a:noFill/>
            </a:ln>
          </c:spPr>
          <c:marker>
            <c:symbol val="none"/>
          </c:marker>
          <c:dLbls>
            <c:dLbl>
              <c:idx val="0"/>
              <c:tx>
                <c:rich>
                  <a:bodyPr/>
                  <a:lstStyle/>
                  <a:p>
                    <a:r>
                      <a:rPr lang="en-US" sz="1000" b="0">
                        <a:latin typeface="Arial" panose="020B0604020202020204" pitchFamily="34" charset="0"/>
                        <a:cs typeface="Arial" panose="020B0604020202020204" pitchFamily="34" charset="0"/>
                      </a:rPr>
                      <a:t>8.75%</a:t>
                    </a:r>
                    <a:endParaRPr lang="en-US"/>
                  </a:p>
                </c:rich>
              </c:tx>
              <c:dLblPos val="t"/>
              <c:showLegendKey val="0"/>
              <c:showVal val="1"/>
              <c:showCatName val="0"/>
              <c:showSerName val="0"/>
              <c:showPercent val="0"/>
              <c:showBubbleSize val="0"/>
            </c:dLbl>
            <c:dLbl>
              <c:idx val="1"/>
              <c:tx>
                <c:rich>
                  <a:bodyPr/>
                  <a:lstStyle/>
                  <a:p>
                    <a:r>
                      <a:rPr lang="en-US" sz="1000" b="0">
                        <a:latin typeface="Arial" panose="020B0604020202020204" pitchFamily="34" charset="0"/>
                        <a:cs typeface="Arial" panose="020B0604020202020204" pitchFamily="34" charset="0"/>
                      </a:rPr>
                      <a:t>3.00%</a:t>
                    </a:r>
                    <a:endParaRPr lang="en-US"/>
                  </a:p>
                </c:rich>
              </c:tx>
              <c:dLblPos val="t"/>
              <c:showLegendKey val="0"/>
              <c:showVal val="1"/>
              <c:showCatName val="0"/>
              <c:showSerName val="0"/>
              <c:showPercent val="0"/>
              <c:showBubbleSize val="0"/>
            </c:dLbl>
            <c:dLbl>
              <c:idx val="2"/>
              <c:tx>
                <c:rich>
                  <a:bodyPr/>
                  <a:lstStyle/>
                  <a:p>
                    <a:r>
                      <a:rPr lang="en-US" sz="1000" b="0">
                        <a:latin typeface="Arial" panose="020B0604020202020204" pitchFamily="34" charset="0"/>
                        <a:cs typeface="Arial" panose="020B0604020202020204" pitchFamily="34" charset="0"/>
                      </a:rPr>
                      <a:t>RP-2000</a:t>
                    </a:r>
                    <a:endParaRPr lang="en-US"/>
                  </a:p>
                </c:rich>
              </c:tx>
              <c:dLblPos val="t"/>
              <c:showLegendKey val="0"/>
              <c:showVal val="1"/>
              <c:showCatName val="0"/>
              <c:showSerName val="0"/>
              <c:showPercent val="0"/>
              <c:showBubbleSize val="0"/>
            </c:dLbl>
            <c:dLbl>
              <c:idx val="3"/>
              <c:tx>
                <c:rich>
                  <a:bodyPr/>
                  <a:lstStyle/>
                  <a:p>
                    <a:r>
                      <a:rPr lang="en-US" sz="1000" b="0">
                        <a:latin typeface="Arial" panose="020B0604020202020204" pitchFamily="34" charset="0"/>
                        <a:cs typeface="Arial" panose="020B0604020202020204" pitchFamily="34" charset="0"/>
                      </a:rPr>
                      <a:t>PUC</a:t>
                    </a:r>
                    <a:endParaRPr lang="en-US"/>
                  </a:p>
                </c:rich>
              </c:tx>
              <c:dLblPos val="t"/>
              <c:showLegendKey val="0"/>
              <c:showVal val="1"/>
              <c:showCatName val="0"/>
              <c:showSerName val="0"/>
              <c:showPercent val="0"/>
              <c:showBubbleSize val="0"/>
            </c:dLbl>
            <c:txPr>
              <a:bodyPr/>
              <a:lstStyle/>
              <a:p>
                <a:pPr>
                  <a:defRPr sz="1000" b="0">
                    <a:latin typeface="Arial" panose="020B0604020202020204" pitchFamily="34" charset="0"/>
                    <a:cs typeface="Arial" panose="020B0604020202020204" pitchFamily="34" charset="0"/>
                  </a:defRPr>
                </a:pPr>
                <a:endParaRPr lang="en-US"/>
              </a:p>
            </c:txPr>
            <c:dLblPos val="t"/>
            <c:showLegendKey val="0"/>
            <c:showVal val="1"/>
            <c:showCatName val="0"/>
            <c:showSerName val="0"/>
            <c:showPercent val="0"/>
            <c:showBubbleSize val="0"/>
            <c:showLeaderLines val="0"/>
          </c:dLbls>
          <c:cat>
            <c:strRef>
              <c:f>BasicFigures!$J$1:$M$1</c:f>
              <c:strCache>
                <c:ptCount val="4"/>
                <c:pt idx="0">
                  <c:v>Discount Rate</c:v>
                </c:pt>
                <c:pt idx="1">
                  <c:v>Salary Growth Rate</c:v>
                </c:pt>
                <c:pt idx="2">
                  <c:v>Mortality Table</c:v>
                </c:pt>
                <c:pt idx="3">
                  <c:v>Cost Method</c:v>
                </c:pt>
              </c:strCache>
            </c:strRef>
          </c:cat>
          <c:val>
            <c:numRef>
              <c:f>BasicFigures!$J$2:$M$2</c:f>
              <c:numCache>
                <c:formatCode>0.0%</c:formatCode>
                <c:ptCount val="4"/>
                <c:pt idx="0">
                  <c:v>0.92800000000000005</c:v>
                </c:pt>
                <c:pt idx="1">
                  <c:v>0.91900000000000004</c:v>
                </c:pt>
                <c:pt idx="2">
                  <c:v>0.877</c:v>
                </c:pt>
                <c:pt idx="3">
                  <c:v>0.89700000000000002</c:v>
                </c:pt>
              </c:numCache>
            </c:numRef>
          </c:val>
          <c:smooth val="0"/>
        </c:ser>
        <c:ser>
          <c:idx val="1"/>
          <c:order val="1"/>
          <c:spPr>
            <a:ln w="28575">
              <a:noFill/>
            </a:ln>
          </c:spPr>
          <c:marker>
            <c:symbol val="none"/>
          </c:marker>
          <c:dLbls>
            <c:dLbl>
              <c:idx val="0"/>
              <c:tx>
                <c:rich>
                  <a:bodyPr/>
                  <a:lstStyle/>
                  <a:p>
                    <a:r>
                      <a:rPr lang="en-US" sz="1000">
                        <a:latin typeface="Arial" panose="020B0604020202020204" pitchFamily="34" charset="0"/>
                        <a:cs typeface="Arial" panose="020B0604020202020204" pitchFamily="34" charset="0"/>
                      </a:rPr>
                      <a:t>6.00%</a:t>
                    </a:r>
                    <a:endParaRPr lang="en-US"/>
                  </a:p>
                </c:rich>
              </c:tx>
              <c:dLblPos val="b"/>
              <c:showLegendKey val="0"/>
              <c:showVal val="1"/>
              <c:showCatName val="0"/>
              <c:showSerName val="0"/>
              <c:showPercent val="0"/>
              <c:showBubbleSize val="0"/>
            </c:dLbl>
            <c:dLbl>
              <c:idx val="1"/>
              <c:tx>
                <c:rich>
                  <a:bodyPr/>
                  <a:lstStyle/>
                  <a:p>
                    <a:r>
                      <a:rPr lang="en-US" sz="1000">
                        <a:latin typeface="Arial" panose="020B0604020202020204" pitchFamily="34" charset="0"/>
                        <a:cs typeface="Arial" panose="020B0604020202020204" pitchFamily="34" charset="0"/>
                      </a:rPr>
                      <a:t>8.00%</a:t>
                    </a:r>
                    <a:endParaRPr lang="en-US"/>
                  </a:p>
                </c:rich>
              </c:tx>
              <c:dLblPos val="b"/>
              <c:showLegendKey val="0"/>
              <c:showVal val="1"/>
              <c:showCatName val="0"/>
              <c:showSerName val="0"/>
              <c:showPercent val="0"/>
              <c:showBubbleSize val="0"/>
            </c:dLbl>
            <c:dLbl>
              <c:idx val="2"/>
              <c:tx>
                <c:rich>
                  <a:bodyPr/>
                  <a:lstStyle/>
                  <a:p>
                    <a:r>
                      <a:rPr lang="en-US" sz="1000">
                        <a:latin typeface="Arial" panose="020B0604020202020204" pitchFamily="34" charset="0"/>
                        <a:cs typeface="Arial" panose="020B0604020202020204" pitchFamily="34" charset="0"/>
                      </a:rPr>
                      <a:t>RP-2014</a:t>
                    </a:r>
                    <a:endParaRPr lang="en-US"/>
                  </a:p>
                </c:rich>
              </c:tx>
              <c:dLblPos val="b"/>
              <c:showLegendKey val="0"/>
              <c:showVal val="1"/>
              <c:showCatName val="0"/>
              <c:showSerName val="0"/>
              <c:showPercent val="0"/>
              <c:showBubbleSize val="0"/>
            </c:dLbl>
            <c:dLbl>
              <c:idx val="3"/>
              <c:tx>
                <c:rich>
                  <a:bodyPr/>
                  <a:lstStyle/>
                  <a:p>
                    <a:r>
                      <a:rPr lang="en-US" sz="1000">
                        <a:latin typeface="Arial" panose="020B0604020202020204" pitchFamily="34" charset="0"/>
                        <a:cs typeface="Arial" panose="020B0604020202020204" pitchFamily="34" charset="0"/>
                      </a:rPr>
                      <a:t>EAN</a:t>
                    </a:r>
                    <a:endParaRPr lang="en-US"/>
                  </a:p>
                </c:rich>
              </c:tx>
              <c:dLblPos val="b"/>
              <c:showLegendKey val="0"/>
              <c:showVal val="1"/>
              <c:showCatName val="0"/>
              <c:showSerName val="0"/>
              <c:showPercent val="0"/>
              <c:showBubbleSize val="0"/>
            </c:dLbl>
            <c:txPr>
              <a:bodyPr/>
              <a:lstStyle/>
              <a:p>
                <a:pPr>
                  <a:defRPr sz="1000">
                    <a:latin typeface="Arial" panose="020B0604020202020204" pitchFamily="34" charset="0"/>
                    <a:cs typeface="Arial" panose="020B0604020202020204" pitchFamily="34" charset="0"/>
                  </a:defRPr>
                </a:pPr>
                <a:endParaRPr lang="en-US"/>
              </a:p>
            </c:txPr>
            <c:dLblPos val="b"/>
            <c:showLegendKey val="0"/>
            <c:showVal val="1"/>
            <c:showCatName val="0"/>
            <c:showSerName val="0"/>
            <c:showPercent val="0"/>
            <c:showBubbleSize val="0"/>
            <c:showLeaderLines val="0"/>
          </c:dLbls>
          <c:cat>
            <c:strRef>
              <c:f>BasicFigures!$J$1:$M$1</c:f>
              <c:strCache>
                <c:ptCount val="4"/>
                <c:pt idx="0">
                  <c:v>Discount Rate</c:v>
                </c:pt>
                <c:pt idx="1">
                  <c:v>Salary Growth Rate</c:v>
                </c:pt>
                <c:pt idx="2">
                  <c:v>Mortality Table</c:v>
                </c:pt>
                <c:pt idx="3">
                  <c:v>Cost Method</c:v>
                </c:pt>
              </c:strCache>
            </c:strRef>
          </c:cat>
          <c:val>
            <c:numRef>
              <c:f>BasicFigures!$J$3:$M$3</c:f>
              <c:numCache>
                <c:formatCode>0.0%</c:formatCode>
                <c:ptCount val="4"/>
                <c:pt idx="0">
                  <c:v>0.67700000000000005</c:v>
                </c:pt>
                <c:pt idx="1">
                  <c:v>0.83699999999999997</c:v>
                </c:pt>
                <c:pt idx="2">
                  <c:v>0.80600000000000005</c:v>
                </c:pt>
                <c:pt idx="3">
                  <c:v>0.85399999999999998</c:v>
                </c:pt>
              </c:numCache>
            </c:numRef>
          </c:val>
          <c:smooth val="0"/>
        </c:ser>
        <c:ser>
          <c:idx val="2"/>
          <c:order val="2"/>
          <c:spPr>
            <a:ln w="28575">
              <a:noFill/>
            </a:ln>
          </c:spPr>
          <c:marker>
            <c:symbol val="circle"/>
            <c:size val="7"/>
          </c:marker>
          <c:dLbls>
            <c:dLbl>
              <c:idx val="0"/>
              <c:tx>
                <c:rich>
                  <a:bodyPr/>
                  <a:lstStyle/>
                  <a:p>
                    <a:r>
                      <a:rPr lang="en-US" sz="1000">
                        <a:latin typeface="Arial" panose="020B0604020202020204" pitchFamily="34" charset="0"/>
                        <a:cs typeface="Arial" panose="020B0604020202020204" pitchFamily="34" charset="0"/>
                      </a:rPr>
                      <a:t>8.00%</a:t>
                    </a:r>
                    <a:endParaRPr lang="en-US"/>
                  </a:p>
                </c:rich>
              </c:tx>
              <c:showLegendKey val="0"/>
              <c:showVal val="1"/>
              <c:showCatName val="0"/>
              <c:showSerName val="0"/>
              <c:showPercent val="0"/>
              <c:showBubbleSize val="0"/>
            </c:dLbl>
            <c:dLbl>
              <c:idx val="1"/>
              <c:tx>
                <c:rich>
                  <a:bodyPr/>
                  <a:lstStyle/>
                  <a:p>
                    <a:r>
                      <a:rPr lang="en-US" sz="1000">
                        <a:latin typeface="Arial" panose="020B0604020202020204" pitchFamily="34" charset="0"/>
                        <a:cs typeface="Arial" panose="020B0604020202020204" pitchFamily="34" charset="0"/>
                      </a:rPr>
                      <a:t>5.68%</a:t>
                    </a:r>
                    <a:endParaRPr lang="en-US"/>
                  </a:p>
                </c:rich>
              </c:tx>
              <c:showLegendKey val="0"/>
              <c:showVal val="1"/>
              <c:showCatName val="0"/>
              <c:showSerName val="0"/>
              <c:showPercent val="0"/>
              <c:showBubbleSize val="0"/>
            </c:dLbl>
            <c:dLbl>
              <c:idx val="2"/>
              <c:tx>
                <c:rich>
                  <a:bodyPr/>
                  <a:lstStyle/>
                  <a:p>
                    <a:r>
                      <a:rPr lang="en-US" sz="1000">
                        <a:latin typeface="Arial" panose="020B0604020202020204" pitchFamily="34" charset="0"/>
                        <a:cs typeface="Arial" panose="020B0604020202020204" pitchFamily="34" charset="0"/>
                      </a:rPr>
                      <a:t>RP-2000 with</a:t>
                    </a:r>
                    <a:r>
                      <a:rPr lang="en-US" sz="1000" baseline="0">
                        <a:latin typeface="Arial" panose="020B0604020202020204" pitchFamily="34" charset="0"/>
                        <a:cs typeface="Arial" panose="020B0604020202020204" pitchFamily="34" charset="0"/>
                      </a:rPr>
                      <a:t> p</a:t>
                    </a:r>
                    <a:r>
                      <a:rPr lang="en-US" sz="1000">
                        <a:latin typeface="Arial" panose="020B0604020202020204" pitchFamily="34" charset="0"/>
                        <a:cs typeface="Arial" panose="020B0604020202020204" pitchFamily="34" charset="0"/>
                      </a:rPr>
                      <a:t>rojection</a:t>
                    </a:r>
                    <a:endParaRPr lang="en-US"/>
                  </a:p>
                </c:rich>
              </c:tx>
              <c:showLegendKey val="0"/>
              <c:showVal val="1"/>
              <c:showCatName val="0"/>
              <c:showSerName val="0"/>
              <c:showPercent val="0"/>
              <c:showBubbleSize val="0"/>
            </c:dLbl>
            <c:dLbl>
              <c:idx val="3"/>
              <c:delete val="1"/>
            </c:dLbl>
            <c:txPr>
              <a:bodyPr/>
              <a:lstStyle/>
              <a:p>
                <a:pPr>
                  <a:defRPr sz="1000">
                    <a:latin typeface="Arial" panose="020B0604020202020204" pitchFamily="34" charset="0"/>
                    <a:cs typeface="Arial" panose="020B0604020202020204" pitchFamily="34" charset="0"/>
                  </a:defRPr>
                </a:pPr>
                <a:endParaRPr lang="en-US"/>
              </a:p>
            </c:txPr>
            <c:showLegendKey val="0"/>
            <c:showVal val="1"/>
            <c:showCatName val="0"/>
            <c:showSerName val="0"/>
            <c:showPercent val="0"/>
            <c:showBubbleSize val="0"/>
            <c:showLeaderLines val="0"/>
          </c:dLbls>
          <c:cat>
            <c:strRef>
              <c:f>BasicFigures!$J$1:$M$1</c:f>
              <c:strCache>
                <c:ptCount val="4"/>
                <c:pt idx="0">
                  <c:v>Discount Rate</c:v>
                </c:pt>
                <c:pt idx="1">
                  <c:v>Salary Growth Rate</c:v>
                </c:pt>
                <c:pt idx="2">
                  <c:v>Mortality Table</c:v>
                </c:pt>
                <c:pt idx="3">
                  <c:v>Cost Method</c:v>
                </c:pt>
              </c:strCache>
            </c:strRef>
          </c:cat>
          <c:val>
            <c:numRef>
              <c:f>BasicFigures!$J$4:$M$4</c:f>
              <c:numCache>
                <c:formatCode>0.0%</c:formatCode>
                <c:ptCount val="4"/>
                <c:pt idx="0">
                  <c:v>0.85399999999999998</c:v>
                </c:pt>
                <c:pt idx="1">
                  <c:v>0.85399999999999998</c:v>
                </c:pt>
                <c:pt idx="2">
                  <c:v>0.85399999999999998</c:v>
                </c:pt>
                <c:pt idx="3">
                  <c:v>0.85399999999999998</c:v>
                </c:pt>
              </c:numCache>
            </c:numRef>
          </c:val>
          <c:smooth val="0"/>
        </c:ser>
        <c:dLbls>
          <c:showLegendKey val="0"/>
          <c:showVal val="1"/>
          <c:showCatName val="0"/>
          <c:showSerName val="0"/>
          <c:showPercent val="0"/>
          <c:showBubbleSize val="0"/>
        </c:dLbls>
        <c:hiLowLines>
          <c:spPr>
            <a:ln w="107950" cap="rnd">
              <a:solidFill>
                <a:schemeClr val="tx1">
                  <a:lumMod val="65000"/>
                  <a:lumOff val="35000"/>
                </a:schemeClr>
              </a:solidFill>
            </a:ln>
          </c:spPr>
        </c:hiLowLines>
        <c:axId val="170125568"/>
        <c:axId val="170209280"/>
      </c:stockChart>
      <c:catAx>
        <c:axId val="170125568"/>
        <c:scaling>
          <c:orientation val="minMax"/>
        </c:scaling>
        <c:delete val="0"/>
        <c:axPos val="b"/>
        <c:majorTickMark val="out"/>
        <c:minorTickMark val="none"/>
        <c:tickLblPos val="nextTo"/>
        <c:txPr>
          <a:bodyPr/>
          <a:lstStyle/>
          <a:p>
            <a:pPr>
              <a:defRPr sz="1000" b="0">
                <a:latin typeface="Arial" panose="020B0604020202020204" pitchFamily="34" charset="0"/>
                <a:cs typeface="Arial" panose="020B0604020202020204" pitchFamily="34" charset="0"/>
              </a:defRPr>
            </a:pPr>
            <a:endParaRPr lang="en-US"/>
          </a:p>
        </c:txPr>
        <c:crossAx val="170209280"/>
        <c:crosses val="autoZero"/>
        <c:auto val="1"/>
        <c:lblAlgn val="ctr"/>
        <c:lblOffset val="100"/>
        <c:noMultiLvlLbl val="0"/>
      </c:catAx>
      <c:valAx>
        <c:axId val="170209280"/>
        <c:scaling>
          <c:orientation val="minMax"/>
          <c:max val="1"/>
          <c:min val="0.6"/>
        </c:scaling>
        <c:delete val="0"/>
        <c:axPos val="l"/>
        <c:majorGridlines/>
        <c:title>
          <c:tx>
            <c:rich>
              <a:bodyPr rot="-5400000" vert="horz"/>
              <a:lstStyle/>
              <a:p>
                <a:pPr>
                  <a:defRPr sz="1000" b="0">
                    <a:latin typeface="Arial" panose="020B0604020202020204" pitchFamily="34" charset="0"/>
                    <a:cs typeface="Arial" panose="020B0604020202020204" pitchFamily="34" charset="0"/>
                  </a:defRPr>
                </a:pPr>
                <a:r>
                  <a:rPr lang="en-US" sz="1000" b="0">
                    <a:latin typeface="Arial" panose="020B0604020202020204" pitchFamily="34" charset="0"/>
                    <a:cs typeface="Arial" panose="020B0604020202020204" pitchFamily="34" charset="0"/>
                  </a:rPr>
                  <a:t>Funding</a:t>
                </a:r>
                <a:r>
                  <a:rPr lang="en-US" sz="1000" b="0" baseline="0">
                    <a:latin typeface="Arial" panose="020B0604020202020204" pitchFamily="34" charset="0"/>
                    <a:cs typeface="Arial" panose="020B0604020202020204" pitchFamily="34" charset="0"/>
                  </a:rPr>
                  <a:t> Ratio</a:t>
                </a:r>
                <a:endParaRPr lang="en-US" sz="1000" b="0">
                  <a:latin typeface="Arial" panose="020B0604020202020204" pitchFamily="34" charset="0"/>
                  <a:cs typeface="Arial" panose="020B0604020202020204" pitchFamily="34" charset="0"/>
                </a:endParaRPr>
              </a:p>
            </c:rich>
          </c:tx>
          <c:overlay val="0"/>
        </c:title>
        <c:numFmt formatCode="0%" sourceLinked="0"/>
        <c:majorTickMark val="out"/>
        <c:minorTickMark val="none"/>
        <c:tickLblPos val="nextTo"/>
        <c:crossAx val="170125568"/>
        <c:crosses val="autoZero"/>
        <c:crossBetween val="between"/>
        <c:majorUnit val="0.05"/>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0"/>
    <c:plotArea>
      <c:layout/>
      <c:stockChart>
        <c:ser>
          <c:idx val="0"/>
          <c:order val="0"/>
          <c:spPr>
            <a:ln w="28575">
              <a:noFill/>
            </a:ln>
          </c:spPr>
          <c:marker>
            <c:symbol val="none"/>
          </c:marker>
          <c:dLbls>
            <c:dLbl>
              <c:idx val="0"/>
              <c:tx>
                <c:rich>
                  <a:bodyPr/>
                  <a:lstStyle/>
                  <a:p>
                    <a:r>
                      <a:rPr lang="en-US" sz="1000">
                        <a:latin typeface="Arial" panose="020B0604020202020204" pitchFamily="34" charset="0"/>
                        <a:cs typeface="Arial" panose="020B0604020202020204" pitchFamily="34" charset="0"/>
                      </a:rPr>
                      <a:t>6.00%</a:t>
                    </a:r>
                    <a:endParaRPr lang="en-US"/>
                  </a:p>
                </c:rich>
              </c:tx>
              <c:dLblPos val="t"/>
              <c:showLegendKey val="0"/>
              <c:showVal val="1"/>
              <c:showCatName val="0"/>
              <c:showSerName val="0"/>
              <c:showPercent val="0"/>
              <c:showBubbleSize val="0"/>
            </c:dLbl>
            <c:dLbl>
              <c:idx val="1"/>
              <c:tx>
                <c:rich>
                  <a:bodyPr/>
                  <a:lstStyle/>
                  <a:p>
                    <a:r>
                      <a:rPr lang="en-US" sz="1000">
                        <a:latin typeface="Arial" panose="020B0604020202020204" pitchFamily="34" charset="0"/>
                        <a:cs typeface="Arial" panose="020B0604020202020204" pitchFamily="34" charset="0"/>
                      </a:rPr>
                      <a:t>8.00%</a:t>
                    </a:r>
                    <a:endParaRPr lang="en-US"/>
                  </a:p>
                </c:rich>
              </c:tx>
              <c:dLblPos val="t"/>
              <c:showLegendKey val="0"/>
              <c:showVal val="1"/>
              <c:showCatName val="0"/>
              <c:showSerName val="0"/>
              <c:showPercent val="0"/>
              <c:showBubbleSize val="0"/>
            </c:dLbl>
            <c:dLbl>
              <c:idx val="2"/>
              <c:tx>
                <c:rich>
                  <a:bodyPr/>
                  <a:lstStyle/>
                  <a:p>
                    <a:r>
                      <a:rPr lang="en-US" sz="1000">
                        <a:latin typeface="Arial" panose="020B0604020202020204" pitchFamily="34" charset="0"/>
                        <a:cs typeface="Arial" panose="020B0604020202020204" pitchFamily="34" charset="0"/>
                      </a:rPr>
                      <a:t>RP-2014</a:t>
                    </a:r>
                    <a:endParaRPr lang="en-US"/>
                  </a:p>
                </c:rich>
              </c:tx>
              <c:dLblPos val="t"/>
              <c:showLegendKey val="0"/>
              <c:showVal val="1"/>
              <c:showCatName val="0"/>
              <c:showSerName val="0"/>
              <c:showPercent val="0"/>
              <c:showBubbleSize val="0"/>
            </c:dLbl>
            <c:dLbl>
              <c:idx val="3"/>
              <c:tx>
                <c:rich>
                  <a:bodyPr/>
                  <a:lstStyle/>
                  <a:p>
                    <a:r>
                      <a:rPr lang="en-US" sz="1000">
                        <a:latin typeface="Arial" panose="020B0604020202020204" pitchFamily="34" charset="0"/>
                        <a:cs typeface="Arial" panose="020B0604020202020204" pitchFamily="34" charset="0"/>
                      </a:rPr>
                      <a:t>PUC</a:t>
                    </a:r>
                    <a:endParaRPr lang="en-US"/>
                  </a:p>
                </c:rich>
              </c:tx>
              <c:dLblPos val="t"/>
              <c:showLegendKey val="0"/>
              <c:showVal val="1"/>
              <c:showCatName val="0"/>
              <c:showSerName val="0"/>
              <c:showPercent val="0"/>
              <c:showBubbleSize val="0"/>
            </c:dLbl>
            <c:dLbl>
              <c:idx val="4"/>
              <c:tx>
                <c:rich>
                  <a:bodyPr/>
                  <a:lstStyle/>
                  <a:p>
                    <a:r>
                      <a:rPr lang="en-US" sz="1000">
                        <a:latin typeface="Arial" panose="020B0604020202020204" pitchFamily="34" charset="0"/>
                        <a:cs typeface="Arial" panose="020B0604020202020204" pitchFamily="34" charset="0"/>
                      </a:rPr>
                      <a:t>10 years</a:t>
                    </a:r>
                    <a:endParaRPr lang="en-US"/>
                  </a:p>
                </c:rich>
              </c:tx>
              <c:dLblPos val="t"/>
              <c:showLegendKey val="0"/>
              <c:showVal val="1"/>
              <c:showCatName val="0"/>
              <c:showSerName val="0"/>
              <c:showPercent val="0"/>
              <c:showBubbleSize val="0"/>
            </c:dLbl>
            <c:txPr>
              <a:bodyPr/>
              <a:lstStyle/>
              <a:p>
                <a:pPr>
                  <a:defRPr sz="1000">
                    <a:latin typeface="Arial" panose="020B0604020202020204" pitchFamily="34" charset="0"/>
                    <a:cs typeface="Arial" panose="020B0604020202020204" pitchFamily="34" charset="0"/>
                  </a:defRPr>
                </a:pPr>
                <a:endParaRPr lang="en-US"/>
              </a:p>
            </c:txPr>
            <c:dLblPos val="t"/>
            <c:showLegendKey val="0"/>
            <c:showVal val="1"/>
            <c:showCatName val="0"/>
            <c:showSerName val="0"/>
            <c:showPercent val="0"/>
            <c:showBubbleSize val="0"/>
            <c:showLeaderLines val="0"/>
          </c:dLbls>
          <c:cat>
            <c:strRef>
              <c:f>BasicFigures!$T$1:$X$1</c:f>
              <c:strCache>
                <c:ptCount val="5"/>
                <c:pt idx="0">
                  <c:v>Discount Rate</c:v>
                </c:pt>
                <c:pt idx="1">
                  <c:v>Salary Growth Rate</c:v>
                </c:pt>
                <c:pt idx="2">
                  <c:v>Mortality Table</c:v>
                </c:pt>
                <c:pt idx="3">
                  <c:v>Cost Method</c:v>
                </c:pt>
                <c:pt idx="4">
                  <c:v>Amortization Period</c:v>
                </c:pt>
              </c:strCache>
            </c:strRef>
          </c:cat>
          <c:val>
            <c:numRef>
              <c:f>BasicFigures!$T$2:$X$2</c:f>
              <c:numCache>
                <c:formatCode>0.0%</c:formatCode>
                <c:ptCount val="5"/>
                <c:pt idx="0">
                  <c:v>0.36</c:v>
                </c:pt>
                <c:pt idx="1">
                  <c:v>0.34599999999999997</c:v>
                </c:pt>
                <c:pt idx="2">
                  <c:v>0.22520000000000001</c:v>
                </c:pt>
                <c:pt idx="3">
                  <c:v>0.18870000000000001</c:v>
                </c:pt>
                <c:pt idx="4">
                  <c:v>0.24079999999999999</c:v>
                </c:pt>
              </c:numCache>
            </c:numRef>
          </c:val>
          <c:smooth val="0"/>
        </c:ser>
        <c:ser>
          <c:idx val="1"/>
          <c:order val="1"/>
          <c:spPr>
            <a:ln w="28575">
              <a:noFill/>
            </a:ln>
          </c:spPr>
          <c:marker>
            <c:symbol val="none"/>
          </c:marker>
          <c:dLbls>
            <c:dLbl>
              <c:idx val="0"/>
              <c:tx>
                <c:rich>
                  <a:bodyPr/>
                  <a:lstStyle/>
                  <a:p>
                    <a:r>
                      <a:rPr lang="en-US" sz="1050">
                        <a:latin typeface="Arial" panose="020B0604020202020204" pitchFamily="34" charset="0"/>
                        <a:cs typeface="Arial" panose="020B0604020202020204" pitchFamily="34" charset="0"/>
                      </a:rPr>
                      <a:t>8.75%</a:t>
                    </a:r>
                    <a:endParaRPr lang="en-US"/>
                  </a:p>
                </c:rich>
              </c:tx>
              <c:dLblPos val="b"/>
              <c:showLegendKey val="0"/>
              <c:showVal val="1"/>
              <c:showCatName val="0"/>
              <c:showSerName val="0"/>
              <c:showPercent val="0"/>
              <c:showBubbleSize val="0"/>
            </c:dLbl>
            <c:dLbl>
              <c:idx val="1"/>
              <c:tx>
                <c:rich>
                  <a:bodyPr/>
                  <a:lstStyle/>
                  <a:p>
                    <a:r>
                      <a:rPr lang="en-US" sz="1050">
                        <a:latin typeface="Arial" panose="020B0604020202020204" pitchFamily="34" charset="0"/>
                        <a:cs typeface="Arial" panose="020B0604020202020204" pitchFamily="34" charset="0"/>
                      </a:rPr>
                      <a:t>3.00%</a:t>
                    </a:r>
                    <a:endParaRPr lang="en-US"/>
                  </a:p>
                </c:rich>
              </c:tx>
              <c:dLblPos val="b"/>
              <c:showLegendKey val="0"/>
              <c:showVal val="1"/>
              <c:showCatName val="0"/>
              <c:showSerName val="0"/>
              <c:showPercent val="0"/>
              <c:showBubbleSize val="0"/>
            </c:dLbl>
            <c:dLbl>
              <c:idx val="2"/>
              <c:tx>
                <c:rich>
                  <a:bodyPr/>
                  <a:lstStyle/>
                  <a:p>
                    <a:r>
                      <a:rPr lang="en-US" sz="1050">
                        <a:latin typeface="Arial" panose="020B0604020202020204" pitchFamily="34" charset="0"/>
                        <a:cs typeface="Arial" panose="020B0604020202020204" pitchFamily="34" charset="0"/>
                      </a:rPr>
                      <a:t>RP-2000</a:t>
                    </a:r>
                    <a:endParaRPr lang="en-US"/>
                  </a:p>
                </c:rich>
              </c:tx>
              <c:dLblPos val="b"/>
              <c:showLegendKey val="0"/>
              <c:showVal val="1"/>
              <c:showCatName val="0"/>
              <c:showSerName val="0"/>
              <c:showPercent val="0"/>
              <c:showBubbleSize val="0"/>
            </c:dLbl>
            <c:dLbl>
              <c:idx val="3"/>
              <c:tx>
                <c:rich>
                  <a:bodyPr/>
                  <a:lstStyle/>
                  <a:p>
                    <a:r>
                      <a:rPr lang="en-US" sz="1050">
                        <a:latin typeface="Arial" panose="020B0604020202020204" pitchFamily="34" charset="0"/>
                        <a:cs typeface="Arial" panose="020B0604020202020204" pitchFamily="34" charset="0"/>
                      </a:rPr>
                      <a:t>EAN</a:t>
                    </a:r>
                    <a:endParaRPr lang="en-US"/>
                  </a:p>
                </c:rich>
              </c:tx>
              <c:dLblPos val="b"/>
              <c:showLegendKey val="0"/>
              <c:showVal val="1"/>
              <c:showCatName val="0"/>
              <c:showSerName val="0"/>
              <c:showPercent val="0"/>
              <c:showBubbleSize val="0"/>
            </c:dLbl>
            <c:dLbl>
              <c:idx val="4"/>
              <c:tx>
                <c:rich>
                  <a:bodyPr/>
                  <a:lstStyle/>
                  <a:p>
                    <a:r>
                      <a:rPr lang="en-US" sz="1050">
                        <a:latin typeface="Arial" panose="020B0604020202020204" pitchFamily="34" charset="0"/>
                        <a:cs typeface="Arial" panose="020B0604020202020204" pitchFamily="34" charset="0"/>
                      </a:rPr>
                      <a:t>30 years</a:t>
                    </a:r>
                    <a:endParaRPr lang="en-US"/>
                  </a:p>
                </c:rich>
              </c:tx>
              <c:dLblPos val="b"/>
              <c:showLegendKey val="0"/>
              <c:showVal val="1"/>
              <c:showCatName val="0"/>
              <c:showSerName val="0"/>
              <c:showPercent val="0"/>
              <c:showBubbleSize val="0"/>
            </c:dLbl>
            <c:txPr>
              <a:bodyPr/>
              <a:lstStyle/>
              <a:p>
                <a:pPr>
                  <a:defRPr sz="1050">
                    <a:latin typeface="Arial" panose="020B0604020202020204" pitchFamily="34" charset="0"/>
                    <a:cs typeface="Arial" panose="020B0604020202020204" pitchFamily="34" charset="0"/>
                  </a:defRPr>
                </a:pPr>
                <a:endParaRPr lang="en-US"/>
              </a:p>
            </c:txPr>
            <c:dLblPos val="b"/>
            <c:showLegendKey val="0"/>
            <c:showVal val="1"/>
            <c:showCatName val="0"/>
            <c:showSerName val="0"/>
            <c:showPercent val="0"/>
            <c:showBubbleSize val="0"/>
            <c:showLeaderLines val="0"/>
          </c:dLbls>
          <c:cat>
            <c:strRef>
              <c:f>BasicFigures!$T$1:$X$1</c:f>
              <c:strCache>
                <c:ptCount val="5"/>
                <c:pt idx="0">
                  <c:v>Discount Rate</c:v>
                </c:pt>
                <c:pt idx="1">
                  <c:v>Salary Growth Rate</c:v>
                </c:pt>
                <c:pt idx="2">
                  <c:v>Mortality Table</c:v>
                </c:pt>
                <c:pt idx="3">
                  <c:v>Cost Method</c:v>
                </c:pt>
                <c:pt idx="4">
                  <c:v>Amortization Period</c:v>
                </c:pt>
              </c:strCache>
            </c:strRef>
          </c:cat>
          <c:val>
            <c:numRef>
              <c:f>BasicFigures!$T$3:$X$3</c:f>
              <c:numCache>
                <c:formatCode>0.0%</c:formatCode>
                <c:ptCount val="5"/>
                <c:pt idx="0">
                  <c:v>0.125</c:v>
                </c:pt>
                <c:pt idx="1">
                  <c:v>7.8E-2</c:v>
                </c:pt>
                <c:pt idx="2">
                  <c:v>0.1681</c:v>
                </c:pt>
                <c:pt idx="3">
                  <c:v>0.1855</c:v>
                </c:pt>
                <c:pt idx="4">
                  <c:v>0.17660000000000001</c:v>
                </c:pt>
              </c:numCache>
            </c:numRef>
          </c:val>
          <c:smooth val="0"/>
        </c:ser>
        <c:ser>
          <c:idx val="2"/>
          <c:order val="2"/>
          <c:spPr>
            <a:ln w="28575">
              <a:noFill/>
            </a:ln>
          </c:spPr>
          <c:marker>
            <c:symbol val="circle"/>
            <c:size val="7"/>
          </c:marker>
          <c:dLbls>
            <c:dLbl>
              <c:idx val="0"/>
              <c:tx>
                <c:rich>
                  <a:bodyPr/>
                  <a:lstStyle/>
                  <a:p>
                    <a:r>
                      <a:rPr lang="en-US" sz="1000">
                        <a:latin typeface="Arial" panose="020B0604020202020204" pitchFamily="34" charset="0"/>
                        <a:cs typeface="Arial" panose="020B0604020202020204" pitchFamily="34" charset="0"/>
                      </a:rPr>
                      <a:t>8.00%</a:t>
                    </a:r>
                    <a:endParaRPr lang="en-US"/>
                  </a:p>
                </c:rich>
              </c:tx>
              <c:showLegendKey val="0"/>
              <c:showVal val="1"/>
              <c:showCatName val="0"/>
              <c:showSerName val="0"/>
              <c:showPercent val="0"/>
              <c:showBubbleSize val="0"/>
            </c:dLbl>
            <c:dLbl>
              <c:idx val="1"/>
              <c:tx>
                <c:rich>
                  <a:bodyPr/>
                  <a:lstStyle/>
                  <a:p>
                    <a:r>
                      <a:rPr lang="en-US" sz="1000">
                        <a:latin typeface="Arial" panose="020B0604020202020204" pitchFamily="34" charset="0"/>
                        <a:cs typeface="Arial" panose="020B0604020202020204" pitchFamily="34" charset="0"/>
                      </a:rPr>
                      <a:t>5.68%</a:t>
                    </a:r>
                    <a:endParaRPr lang="en-US"/>
                  </a:p>
                </c:rich>
              </c:tx>
              <c:showLegendKey val="0"/>
              <c:showVal val="1"/>
              <c:showCatName val="0"/>
              <c:showSerName val="0"/>
              <c:showPercent val="0"/>
              <c:showBubbleSize val="0"/>
            </c:dLbl>
            <c:dLbl>
              <c:idx val="2"/>
              <c:tx>
                <c:rich>
                  <a:bodyPr/>
                  <a:lstStyle/>
                  <a:p>
                    <a:r>
                      <a:rPr lang="en-US" sz="1000">
                        <a:latin typeface="Arial" panose="020B0604020202020204" pitchFamily="34" charset="0"/>
                        <a:cs typeface="Arial" panose="020B0604020202020204" pitchFamily="34" charset="0"/>
                      </a:rPr>
                      <a:t>RP-2000</a:t>
                    </a:r>
                    <a:r>
                      <a:rPr lang="en-US" sz="1000" baseline="0">
                        <a:latin typeface="Arial" panose="020B0604020202020204" pitchFamily="34" charset="0"/>
                        <a:cs typeface="Arial" panose="020B0604020202020204" pitchFamily="34" charset="0"/>
                      </a:rPr>
                      <a:t> with projection</a:t>
                    </a:r>
                    <a:endParaRPr lang="en-US"/>
                  </a:p>
                </c:rich>
              </c:tx>
              <c:showLegendKey val="0"/>
              <c:showVal val="1"/>
              <c:showCatName val="0"/>
              <c:showSerName val="0"/>
              <c:showPercent val="0"/>
              <c:showBubbleSize val="0"/>
            </c:dLbl>
            <c:dLbl>
              <c:idx val="3"/>
              <c:delete val="1"/>
            </c:dLbl>
            <c:dLbl>
              <c:idx val="4"/>
              <c:tx>
                <c:rich>
                  <a:bodyPr/>
                  <a:lstStyle/>
                  <a:p>
                    <a:r>
                      <a:rPr lang="en-US" sz="1000">
                        <a:latin typeface="Arial" panose="020B0604020202020204" pitchFamily="34" charset="0"/>
                        <a:cs typeface="Arial" panose="020B0604020202020204" pitchFamily="34" charset="0"/>
                      </a:rPr>
                      <a:t>29</a:t>
                    </a:r>
                    <a:r>
                      <a:rPr lang="en-US" sz="1000" baseline="0">
                        <a:latin typeface="Arial" panose="020B0604020202020204" pitchFamily="34" charset="0"/>
                        <a:cs typeface="Arial" panose="020B0604020202020204" pitchFamily="34" charset="0"/>
                      </a:rPr>
                      <a:t> years</a:t>
                    </a:r>
                    <a:endParaRPr lang="en-US"/>
                  </a:p>
                </c:rich>
              </c:tx>
              <c:showLegendKey val="0"/>
              <c:showVal val="1"/>
              <c:showCatName val="0"/>
              <c:showSerName val="0"/>
              <c:showPercent val="0"/>
              <c:showBubbleSize val="0"/>
            </c:dLbl>
            <c:txPr>
              <a:bodyPr/>
              <a:lstStyle/>
              <a:p>
                <a:pPr>
                  <a:defRPr sz="1000">
                    <a:latin typeface="Arial" panose="020B0604020202020204" pitchFamily="34" charset="0"/>
                    <a:cs typeface="Arial" panose="020B0604020202020204" pitchFamily="34" charset="0"/>
                  </a:defRPr>
                </a:pPr>
                <a:endParaRPr lang="en-US"/>
              </a:p>
            </c:txPr>
            <c:showLegendKey val="0"/>
            <c:showVal val="1"/>
            <c:showCatName val="0"/>
            <c:showSerName val="0"/>
            <c:showPercent val="0"/>
            <c:showBubbleSize val="0"/>
            <c:showLeaderLines val="0"/>
          </c:dLbls>
          <c:cat>
            <c:strRef>
              <c:f>BasicFigures!$T$1:$X$1</c:f>
              <c:strCache>
                <c:ptCount val="5"/>
                <c:pt idx="0">
                  <c:v>Discount Rate</c:v>
                </c:pt>
                <c:pt idx="1">
                  <c:v>Salary Growth Rate</c:v>
                </c:pt>
                <c:pt idx="2">
                  <c:v>Mortality Table</c:v>
                </c:pt>
                <c:pt idx="3">
                  <c:v>Cost Method</c:v>
                </c:pt>
                <c:pt idx="4">
                  <c:v>Amortization Period</c:v>
                </c:pt>
              </c:strCache>
            </c:strRef>
          </c:cat>
          <c:val>
            <c:numRef>
              <c:f>BasicFigures!$T$4:$X$4</c:f>
              <c:numCache>
                <c:formatCode>0.0%</c:formatCode>
                <c:ptCount val="5"/>
                <c:pt idx="0">
                  <c:v>0.1855</c:v>
                </c:pt>
                <c:pt idx="1">
                  <c:v>0.1855</c:v>
                </c:pt>
                <c:pt idx="2">
                  <c:v>0.1855</c:v>
                </c:pt>
                <c:pt idx="3">
                  <c:v>0.1855</c:v>
                </c:pt>
                <c:pt idx="4">
                  <c:v>0.1855</c:v>
                </c:pt>
              </c:numCache>
            </c:numRef>
          </c:val>
          <c:smooth val="0"/>
        </c:ser>
        <c:dLbls>
          <c:showLegendKey val="0"/>
          <c:showVal val="1"/>
          <c:showCatName val="0"/>
          <c:showSerName val="0"/>
          <c:showPercent val="0"/>
          <c:showBubbleSize val="0"/>
        </c:dLbls>
        <c:hiLowLines>
          <c:spPr>
            <a:ln w="107950" cap="rnd">
              <a:solidFill>
                <a:schemeClr val="tx1">
                  <a:lumMod val="65000"/>
                  <a:lumOff val="35000"/>
                </a:schemeClr>
              </a:solidFill>
            </a:ln>
          </c:spPr>
        </c:hiLowLines>
        <c:axId val="170240640"/>
        <c:axId val="189493632"/>
      </c:stockChart>
      <c:catAx>
        <c:axId val="170240640"/>
        <c:scaling>
          <c:orientation val="minMax"/>
        </c:scaling>
        <c:delete val="0"/>
        <c:axPos val="b"/>
        <c:majorTickMark val="out"/>
        <c:minorTickMark val="none"/>
        <c:tickLblPos val="nextTo"/>
        <c:txPr>
          <a:bodyPr/>
          <a:lstStyle/>
          <a:p>
            <a:pPr>
              <a:defRPr sz="1000">
                <a:latin typeface="Arial" panose="020B0604020202020204" pitchFamily="34" charset="0"/>
                <a:cs typeface="Arial" panose="020B0604020202020204" pitchFamily="34" charset="0"/>
              </a:defRPr>
            </a:pPr>
            <a:endParaRPr lang="en-US"/>
          </a:p>
        </c:txPr>
        <c:crossAx val="189493632"/>
        <c:crosses val="autoZero"/>
        <c:auto val="1"/>
        <c:lblAlgn val="ctr"/>
        <c:lblOffset val="100"/>
        <c:noMultiLvlLbl val="0"/>
      </c:catAx>
      <c:valAx>
        <c:axId val="189493632"/>
        <c:scaling>
          <c:orientation val="minMax"/>
          <c:max val="0.4"/>
        </c:scaling>
        <c:delete val="0"/>
        <c:axPos val="l"/>
        <c:majorGridlines/>
        <c:title>
          <c:tx>
            <c:rich>
              <a:bodyPr rot="-5400000" vert="horz"/>
              <a:lstStyle/>
              <a:p>
                <a:pPr>
                  <a:defRPr sz="1000" b="0">
                    <a:latin typeface="Arial" panose="020B0604020202020204" pitchFamily="34" charset="0"/>
                    <a:cs typeface="Arial" panose="020B0604020202020204" pitchFamily="34" charset="0"/>
                  </a:defRPr>
                </a:pPr>
                <a:r>
                  <a:rPr lang="en-US" sz="1000" b="0">
                    <a:latin typeface="Arial" panose="020B0604020202020204" pitchFamily="34" charset="0"/>
                    <a:cs typeface="Arial" panose="020B0604020202020204" pitchFamily="34" charset="0"/>
                  </a:rPr>
                  <a:t>ARC / Payroll</a:t>
                </a:r>
                <a:r>
                  <a:rPr lang="en-US" sz="1000" b="0" baseline="0">
                    <a:latin typeface="Arial" panose="020B0604020202020204" pitchFamily="34" charset="0"/>
                    <a:cs typeface="Arial" panose="020B0604020202020204" pitchFamily="34" charset="0"/>
                  </a:rPr>
                  <a:t> × 100%</a:t>
                </a:r>
                <a:endParaRPr lang="en-US" sz="1000" b="0">
                  <a:latin typeface="Arial" panose="020B0604020202020204" pitchFamily="34" charset="0"/>
                  <a:cs typeface="Arial" panose="020B0604020202020204" pitchFamily="34" charset="0"/>
                </a:endParaRPr>
              </a:p>
            </c:rich>
          </c:tx>
          <c:overlay val="0"/>
        </c:title>
        <c:numFmt formatCode="0%" sourceLinked="0"/>
        <c:majorTickMark val="out"/>
        <c:minorTickMark val="none"/>
        <c:tickLblPos val="nextTo"/>
        <c:crossAx val="170240640"/>
        <c:crosses val="autoZero"/>
        <c:crossBetween val="between"/>
        <c:majorUnit val="0.05"/>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2FDBDD-36AC-459A-AB42-19AE070643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40</Pages>
  <Words>10856</Words>
  <Characters>61883</Characters>
  <Application>Microsoft Office Word</Application>
  <DocSecurity>0</DocSecurity>
  <Lines>515</Lines>
  <Paragraphs>145</Paragraphs>
  <ScaleCrop>false</ScaleCrop>
  <HeadingPairs>
    <vt:vector size="2" baseType="variant">
      <vt:variant>
        <vt:lpstr>Title</vt:lpstr>
      </vt:variant>
      <vt:variant>
        <vt:i4>1</vt:i4>
      </vt:variant>
    </vt:vector>
  </HeadingPairs>
  <TitlesOfParts>
    <vt:vector size="1" baseType="lpstr">
      <vt:lpstr/>
    </vt:vector>
  </TitlesOfParts>
  <Company>University at Albany</Company>
  <LinksUpToDate>false</LinksUpToDate>
  <CharactersWithSpaces>72594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dc:creator>
  <cp:lastModifiedBy>David Matkin</cp:lastModifiedBy>
  <cp:revision>8</cp:revision>
  <cp:lastPrinted>2015-01-15T21:58:00Z</cp:lastPrinted>
  <dcterms:created xsi:type="dcterms:W3CDTF">2015-01-16T19:02:00Z</dcterms:created>
  <dcterms:modified xsi:type="dcterms:W3CDTF">2015-01-16T23:25:00Z</dcterms:modified>
</cp:coreProperties>
</file>