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color w:val="1E3A2B"/>
          <w:sz w:val="40"/>
          <w:szCs w:val="40"/>
        </w:rPr>
        <w:t xml:space="preserve">Propuesta de Precio y Plan de Cobro</w:t>
      </w:r>
    </w:p>
    <w:p>
      <w:pPr>
        <w:spacing w:after="100"/>
      </w:pPr>
      <w:r>
        <w:rPr>
          <w:i/>
          <w:iCs/>
          <w:sz w:val="22"/>
          <w:szCs w:val="22"/>
        </w:rPr>
        <w:t xml:space="preserve">Sitio web Fermento / The Ritual — desarrollador freelance en Uruguay para cliente Viva Terra Group S.A. (Nicaragua)</w:t>
      </w:r>
    </w:p>
    <w:p>
      <w:pPr>
        <w:spacing w:after="240"/>
      </w:pPr>
      <w:r>
        <w:rPr>
          <w:color w:val="666666"/>
          <w:sz w:val="18"/>
          <w:szCs w:val="18"/>
        </w:rPr>
        <w:t xml:space="preserve">Preparado 2026-07-03</w:t>
      </w:r>
    </w:p>
    <w:p>
      <w:pPr>
        <w:pBdr>
          <w:bottom w:val="single" w:color="CCCCCC" w:sz="6" w:space="4"/>
        </w:pBdr>
        <w:spacing w:after="200"/>
      </w:pPr>
    </w:p>
    <w:p>
      <w:pPr>
        <w:pStyle w:val="Heading1"/>
      </w:pPr>
      <w:r>
        <w:t xml:space="preserve">1. Resumen ejecutivo</w:t>
      </w:r>
    </w:p>
    <w:p>
      <w:pPr>
        <w:spacing w:after="160"/>
      </w:pPr>
      <w:r>
        <w:t xml:space="preserve">Este documento propone una estructura de precio para el desarrollo del sitio Fermento / The Ritual, considerando que se trata de un proyecto cross-border: freelancer en Uruguay, cliente en Nicaragua. Por eso se recomienda cotizar en USD, alineado a tarifas de freelance internacional, y no a tarifas locales uruguayas en pesos (pensadas para clientes locales).</w:t>
      </w:r>
    </w:p>
    <w:p>
      <w:pPr>
        <w:spacing w:after="160"/>
      </w:pPr>
      <w:r>
        <w:t xml:space="preserve">El proyecto entregado no es un sitio de plantilla: incluye diseño a medida (paleta y tipografía propias), animaciones custom (hero con silueta de Nicaragua, hover reveals, carrusel mobile con scroll-snap), catálogo de 18 productos con fichas de detalle, y enfoque mobile-first. Esto justifica un precio por encima de un sitio institucional básico.</w:t>
      </w:r>
    </w:p>
    <w:p>
      <w:pPr>
        <w:pStyle w:val="Heading1"/>
      </w:pPr>
      <w:r>
        <w:t xml:space="preserve">2. Alcance ya construido</w:t>
      </w:r>
    </w:p>
    <w:p>
      <w:pPr>
        <w:pStyle w:val="ListParagraph"/>
        <w:numPr>
          <w:ilvl w:val="0"/>
          <w:numId w:val="2"/>
        </w:numPr>
        <w:spacing w:after="80"/>
      </w:pPr>
      <w:r>
        <w:t xml:space="preserve">Hero de marca con animación de entrada, silueta de Nicaragua de fondo y efecto hover en producto destacado.</w:t>
      </w:r>
    </w:p>
    <w:p>
      <w:pPr>
        <w:pStyle w:val="ListParagraph"/>
        <w:numPr>
          <w:ilvl w:val="0"/>
          <w:numId w:val="2"/>
        </w:numPr>
        <w:spacing w:after="80"/>
      </w:pPr>
      <w:r>
        <w:t xml:space="preserve">Catálogo completo: Fermento (kombucha, kéfir, cold brew) + The Ritual (agua de coco, shots, dessert jars) — 18 productos.</w:t>
      </w:r>
    </w:p>
    <w:p>
      <w:pPr>
        <w:pStyle w:val="ListParagraph"/>
        <w:numPr>
          <w:ilvl w:val="0"/>
          <w:numId w:val="2"/>
        </w:numPr>
        <w:spacing w:after="80"/>
      </w:pPr>
      <w:r>
        <w:t xml:space="preserve">Cards con click-to-detail (descripción, notas de sabor, propiedades) y carrusel horizontal en mobile para Dessert Jars.</w:t>
      </w:r>
    </w:p>
    <w:p>
      <w:pPr>
        <w:pStyle w:val="ListParagraph"/>
        <w:numPr>
          <w:ilvl w:val="0"/>
          <w:numId w:val="2"/>
        </w:numPr>
        <w:spacing w:after="80"/>
      </w:pPr>
      <w:r>
        <w:t xml:space="preserve">Sección de contacto con CTA directo a WhatsApp.</w:t>
      </w:r>
    </w:p>
    <w:p>
      <w:pPr>
        <w:pStyle w:val="ListParagraph"/>
        <w:numPr>
          <w:ilvl w:val="0"/>
          <w:numId w:val="2"/>
        </w:numPr>
        <w:spacing w:after="80"/>
      </w:pPr>
      <w:r>
        <w:t xml:space="preserve">Footer con identidad visual custom (hojas de palmera integradas).</w:t>
      </w:r>
    </w:p>
    <w:p>
      <w:pPr>
        <w:pStyle w:val="ListParagraph"/>
        <w:numPr>
          <w:ilvl w:val="0"/>
          <w:numId w:val="2"/>
        </w:numPr>
        <w:spacing w:after="80"/>
      </w:pPr>
      <w:r>
        <w:t xml:space="preserve">Diseño responsive mobile-first sobre Next.js + Tailwind, sistema de diseño documentado (design-system.md).</w:t>
      </w:r>
    </w:p>
    <w:p>
      <w:pPr>
        <w:pStyle w:val="Heading1"/>
      </w:pPr>
      <w:r>
        <w:t xml:space="preserve">3. Referencia de mercado</w:t>
      </w:r>
    </w:p>
    <w:p>
      <w:pPr>
        <w:spacing w:after="160"/>
      </w:pPr>
      <w:r>
        <w:t xml:space="preserve">Precios de mercado relevados (Uruguay y freelance internacional,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360"/>
        <w:gridCol w:w="3000"/>
      </w:tblGrid>
      <w:tr>
        <w:tc>
          <w:tcPr>
            <w:tcW w:type="dxa" w:w="6360"/>
            <w:shd w:fill="1E3A2B" w:val="clear"/>
            <w:tcMar>
              <w:top w:type="dxa" w:w="100"/>
              <w:left w:type="dxa" w:w="120"/>
              <w:bottom w:type="dxa" w:w="100"/>
              <w:right w:type="dxa" w:w="120"/>
            </w:tcMar>
          </w:tcPr>
          <w:p>
            <w:pPr>
              <w:jc w:val="left"/>
            </w:pPr>
            <w:r>
              <w:rPr>
                <w:b/>
                <w:bCs/>
                <w:color w:val="FFFFFF"/>
              </w:rPr>
              <w:t xml:space="preserve">Referencia</w:t>
            </w:r>
          </w:p>
        </w:tc>
        <w:tc>
          <w:tcPr>
            <w:tcW w:type="dxa" w:w="3000"/>
            <w:shd w:fill="1E3A2B" w:val="clear"/>
            <w:tcMar>
              <w:top w:type="dxa" w:w="100"/>
              <w:left w:type="dxa" w:w="120"/>
              <w:bottom w:type="dxa" w:w="100"/>
              <w:right w:type="dxa" w:w="120"/>
            </w:tcMar>
          </w:tcPr>
          <w:p>
            <w:pPr>
              <w:jc w:val="left"/>
            </w:pPr>
            <w:r>
              <w:rPr>
                <w:b/>
                <w:bCs/>
                <w:color w:val="FFFFFF"/>
              </w:rPr>
              <w:t xml:space="preserve">Rango</w:t>
            </w:r>
          </w:p>
        </w:tc>
      </w:tr>
      <w:tr>
        <w:tc>
          <w:tcPr>
            <w:tcW w:type="dxa" w:w="6360"/>
            <w:tcMar>
              <w:top w:type="dxa" w:w="100"/>
              <w:left w:type="dxa" w:w="120"/>
              <w:bottom w:type="dxa" w:w="100"/>
              <w:right w:type="dxa" w:w="120"/>
            </w:tcMar>
          </w:tcPr>
          <w:p>
            <w:pPr>
              <w:jc w:val="left"/>
            </w:pPr>
            <w:r>
              <w:rPr>
                <w:b w:val="false"/>
                <w:bCs w:val="false"/>
                <w:color w:val="000000"/>
              </w:rPr>
              <w:t xml:space="preserve">Sitio web profesional en Uruguay (agencia/freelance local)</w:t>
            </w:r>
          </w:p>
        </w:tc>
        <w:tc>
          <w:tcPr>
            <w:tcW w:type="dxa" w:w="3000"/>
            <w:tcMar>
              <w:top w:type="dxa" w:w="100"/>
              <w:left w:type="dxa" w:w="120"/>
              <w:bottom w:type="dxa" w:w="100"/>
              <w:right w:type="dxa" w:w="120"/>
            </w:tcMar>
          </w:tcPr>
          <w:p>
            <w:pPr>
              <w:jc w:val="left"/>
            </w:pPr>
            <w:r>
              <w:rPr>
                <w:b w:val="false"/>
                <w:bCs w:val="false"/>
                <w:color w:val="000000"/>
              </w:rPr>
              <w:t xml:space="preserve">USD 400 – 4,000+</w:t>
            </w:r>
          </w:p>
        </w:tc>
      </w:tr>
      <w:tr>
        <w:tc>
          <w:tcPr>
            <w:tcW w:type="dxa" w:w="6360"/>
            <w:tcMar>
              <w:top w:type="dxa" w:w="100"/>
              <w:left w:type="dxa" w:w="120"/>
              <w:bottom w:type="dxa" w:w="100"/>
              <w:right w:type="dxa" w:w="120"/>
            </w:tcMar>
          </w:tcPr>
          <w:p>
            <w:pPr>
              <w:jc w:val="left"/>
            </w:pPr>
            <w:r>
              <w:rPr>
                <w:b w:val="false"/>
                <w:bCs w:val="false"/>
                <w:color w:val="000000"/>
              </w:rPr>
              <w:t xml:space="preserve">Freelancer web en Uruguay, presupuesto inicial</w:t>
            </w:r>
          </w:p>
        </w:tc>
        <w:tc>
          <w:tcPr>
            <w:tcW w:type="dxa" w:w="3000"/>
            <w:tcMar>
              <w:top w:type="dxa" w:w="100"/>
              <w:left w:type="dxa" w:w="120"/>
              <w:bottom w:type="dxa" w:w="100"/>
              <w:right w:type="dxa" w:w="120"/>
            </w:tcMar>
          </w:tcPr>
          <w:p>
            <w:pPr>
              <w:jc w:val="left"/>
            </w:pPr>
            <w:r>
              <w:rPr>
                <w:b w:val="false"/>
                <w:bCs w:val="false"/>
                <w:color w:val="000000"/>
              </w:rPr>
              <w:t xml:space="preserve">desde USD 800</w:t>
            </w:r>
          </w:p>
        </w:tc>
      </w:tr>
      <w:tr>
        <w:tc>
          <w:tcPr>
            <w:tcW w:type="dxa" w:w="6360"/>
            <w:tcMar>
              <w:top w:type="dxa" w:w="100"/>
              <w:left w:type="dxa" w:w="120"/>
              <w:bottom w:type="dxa" w:w="100"/>
              <w:right w:type="dxa" w:w="120"/>
            </w:tcMar>
          </w:tcPr>
          <w:p>
            <w:pPr>
              <w:jc w:val="left"/>
            </w:pPr>
            <w:r>
              <w:rPr>
                <w:b w:val="false"/>
                <w:bCs w:val="false"/>
                <w:color w:val="000000"/>
              </w:rPr>
              <w:t xml:space="preserve">Tarifa freelance frontend junior (internacional)</w:t>
            </w:r>
          </w:p>
        </w:tc>
        <w:tc>
          <w:tcPr>
            <w:tcW w:type="dxa" w:w="3000"/>
            <w:tcMar>
              <w:top w:type="dxa" w:w="100"/>
              <w:left w:type="dxa" w:w="120"/>
              <w:bottom w:type="dxa" w:w="100"/>
              <w:right w:type="dxa" w:w="120"/>
            </w:tcMar>
          </w:tcPr>
          <w:p>
            <w:pPr>
              <w:jc w:val="left"/>
            </w:pPr>
            <w:r>
              <w:rPr>
                <w:b w:val="false"/>
                <w:bCs w:val="false"/>
                <w:color w:val="000000"/>
              </w:rPr>
              <w:t xml:space="preserve">USD 25 – 40 / hora</w:t>
            </w:r>
          </w:p>
        </w:tc>
      </w:tr>
      <w:tr>
        <w:tc>
          <w:tcPr>
            <w:tcW w:type="dxa" w:w="6360"/>
            <w:tcMar>
              <w:top w:type="dxa" w:w="100"/>
              <w:left w:type="dxa" w:w="120"/>
              <w:bottom w:type="dxa" w:w="100"/>
              <w:right w:type="dxa" w:w="120"/>
            </w:tcMar>
          </w:tcPr>
          <w:p>
            <w:pPr>
              <w:jc w:val="left"/>
            </w:pPr>
            <w:r>
              <w:rPr>
                <w:b w:val="false"/>
                <w:bCs w:val="false"/>
                <w:color w:val="000000"/>
              </w:rPr>
              <w:t xml:space="preserve">Tarifa freelance fullstack intermedio (internacional)</w:t>
            </w:r>
          </w:p>
        </w:tc>
        <w:tc>
          <w:tcPr>
            <w:tcW w:type="dxa" w:w="3000"/>
            <w:tcMar>
              <w:top w:type="dxa" w:w="100"/>
              <w:left w:type="dxa" w:w="120"/>
              <w:bottom w:type="dxa" w:w="100"/>
              <w:right w:type="dxa" w:w="120"/>
            </w:tcMar>
          </w:tcPr>
          <w:p>
            <w:pPr>
              <w:jc w:val="left"/>
            </w:pPr>
            <w:r>
              <w:rPr>
                <w:b w:val="false"/>
                <w:bCs w:val="false"/>
                <w:color w:val="000000"/>
              </w:rPr>
              <w:t xml:space="preserve">USD 45 – 70 / hora</w:t>
            </w:r>
          </w:p>
        </w:tc>
      </w:tr>
      <w:tr>
        <w:tc>
          <w:tcPr>
            <w:tcW w:type="dxa" w:w="6360"/>
            <w:tcMar>
              <w:top w:type="dxa" w:w="100"/>
              <w:left w:type="dxa" w:w="120"/>
              <w:bottom w:type="dxa" w:w="100"/>
              <w:right w:type="dxa" w:w="120"/>
            </w:tcMar>
          </w:tcPr>
          <w:p>
            <w:pPr>
              <w:jc w:val="left"/>
            </w:pPr>
            <w:r>
              <w:rPr>
                <w:b w:val="false"/>
                <w:bCs w:val="false"/>
                <w:color w:val="000000"/>
              </w:rPr>
              <w:t xml:space="preserve">Tarifa freelance senior especializado (internacional)</w:t>
            </w:r>
          </w:p>
        </w:tc>
        <w:tc>
          <w:tcPr>
            <w:tcW w:type="dxa" w:w="3000"/>
            <w:tcMar>
              <w:top w:type="dxa" w:w="100"/>
              <w:left w:type="dxa" w:w="120"/>
              <w:bottom w:type="dxa" w:w="100"/>
              <w:right w:type="dxa" w:w="120"/>
            </w:tcMar>
          </w:tcPr>
          <w:p>
            <w:pPr>
              <w:jc w:val="left"/>
            </w:pPr>
            <w:r>
              <w:rPr>
                <w:b w:val="false"/>
                <w:bCs w:val="false"/>
                <w:color w:val="000000"/>
              </w:rPr>
              <w:t xml:space="preserve">USD 75 – 130 / hora</w:t>
            </w:r>
          </w:p>
        </w:tc>
      </w:tr>
      <w:tr>
        <w:tc>
          <w:tcPr>
            <w:tcW w:type="dxa" w:w="6360"/>
            <w:tcMar>
              <w:top w:type="dxa" w:w="100"/>
              <w:left w:type="dxa" w:w="120"/>
              <w:bottom w:type="dxa" w:w="100"/>
              <w:right w:type="dxa" w:w="120"/>
            </w:tcMar>
          </w:tcPr>
          <w:p>
            <w:pPr>
              <w:jc w:val="left"/>
            </w:pPr>
            <w:r>
              <w:rPr>
                <w:b w:val="false"/>
                <w:bCs w:val="false"/>
                <w:color w:val="000000"/>
              </w:rPr>
              <w:t xml:space="preserve">Mantenimiento mensual profesional (Uruguay)</w:t>
            </w:r>
          </w:p>
        </w:tc>
        <w:tc>
          <w:tcPr>
            <w:tcW w:type="dxa" w:w="3000"/>
            <w:tcMar>
              <w:top w:type="dxa" w:w="100"/>
              <w:left w:type="dxa" w:w="120"/>
              <w:bottom w:type="dxa" w:w="100"/>
              <w:right w:type="dxa" w:w="120"/>
            </w:tcMar>
          </w:tcPr>
          <w:p>
            <w:pPr>
              <w:jc w:val="left"/>
            </w:pPr>
            <w:r>
              <w:rPr>
                <w:b w:val="false"/>
                <w:bCs w:val="false"/>
                <w:color w:val="000000"/>
              </w:rPr>
              <w:t xml:space="preserve">UYU 1,218 – 8,118 / mes</w:t>
            </w:r>
          </w:p>
        </w:tc>
      </w:tr>
    </w:tbl>
    <w:p>
      <w:pPr>
        <w:spacing w:after="160"/>
      </w:pPr>
      <w:r>
        <w:t xml:space="preserve"/>
      </w:r>
    </w:p>
    <w:p>
      <w:pPr>
        <w:spacing w:after="160"/>
      </w:pPr>
      <w:r>
        <w:rPr>
          <w:i/>
          <w:iCs/>
          <w:color w:val="666666"/>
          <w:sz w:val="18"/>
          <w:szCs w:val="18"/>
        </w:rPr>
        <w:t xml:space="preserve">Nota: los montos en UYU dependen del tipo de cambio vigente al momento de cobrar — verificar antes de convertir a USD.</w:t>
      </w:r>
    </w:p>
    <w:p>
      <w:pPr>
        <w:pStyle w:val="Heading1"/>
      </w:pPr>
      <w:r>
        <w:t xml:space="preserve">4. Precio recomendado — desarrollo del sitio</w:t>
      </w:r>
    </w:p>
    <w:p>
      <w:pPr>
        <w:spacing w:after="160"/>
      </w:pPr>
      <w:r>
        <w:t xml:space="preserve">Estimado de horas por la complejidad real del trabajo (diseño a medida + animaciones + catálogo con detalle + ajustes responsive iterativos):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60"/>
        <w:gridCol w:w="1400"/>
        <w:gridCol w:w="3600"/>
      </w:tblGrid>
      <w:tr>
        <w:tc>
          <w:tcPr>
            <w:tcW w:type="dxa" w:w="4360"/>
            <w:shd w:fill="1E3A2B" w:val="clear"/>
            <w:tcMar>
              <w:top w:type="dxa" w:w="100"/>
              <w:left w:type="dxa" w:w="120"/>
              <w:bottom w:type="dxa" w:w="100"/>
              <w:right w:type="dxa" w:w="120"/>
            </w:tcMar>
          </w:tcPr>
          <w:p>
            <w:pPr>
              <w:jc w:val="left"/>
            </w:pPr>
            <w:r>
              <w:rPr>
                <w:b/>
                <w:bCs/>
                <w:color w:val="FFFFFF"/>
              </w:rPr>
              <w:t xml:space="preserve">Bloque de trabajo</w:t>
            </w:r>
          </w:p>
        </w:tc>
        <w:tc>
          <w:tcPr>
            <w:tcW w:type="dxa" w:w="1400"/>
            <w:shd w:fill="1E3A2B" w:val="clear"/>
            <w:tcMar>
              <w:top w:type="dxa" w:w="100"/>
              <w:left w:type="dxa" w:w="120"/>
              <w:bottom w:type="dxa" w:w="100"/>
              <w:right w:type="dxa" w:w="120"/>
            </w:tcMar>
          </w:tcPr>
          <w:p>
            <w:pPr>
              <w:jc w:val="left"/>
            </w:pPr>
            <w:r>
              <w:rPr>
                <w:b/>
                <w:bCs/>
                <w:color w:val="FFFFFF"/>
              </w:rPr>
              <w:t xml:space="preserve">Horas est.</w:t>
            </w:r>
          </w:p>
        </w:tc>
        <w:tc>
          <w:tcPr>
            <w:tcW w:type="dxa" w:w="3600"/>
            <w:shd w:fill="1E3A2B" w:val="clear"/>
            <w:tcMar>
              <w:top w:type="dxa" w:w="100"/>
              <w:left w:type="dxa" w:w="120"/>
              <w:bottom w:type="dxa" w:w="100"/>
              <w:right w:type="dxa" w:w="120"/>
            </w:tcMar>
          </w:tcPr>
          <w:p>
            <w:pPr>
              <w:jc w:val="left"/>
            </w:pPr>
            <w:r>
              <w:rPr>
                <w:b/>
                <w:bCs/>
                <w:color w:val="FFFFFF"/>
              </w:rPr>
              <w:t xml:space="preserve">Detalle</w:t>
            </w:r>
          </w:p>
        </w:tc>
      </w:tr>
      <w:tr>
        <w:tc>
          <w:tcPr>
            <w:tcW w:type="dxa" w:w="4360"/>
            <w:tcMar>
              <w:top w:type="dxa" w:w="100"/>
              <w:left w:type="dxa" w:w="120"/>
              <w:bottom w:type="dxa" w:w="100"/>
              <w:right w:type="dxa" w:w="120"/>
            </w:tcMar>
          </w:tcPr>
          <w:p>
            <w:pPr>
              <w:jc w:val="left"/>
            </w:pPr>
            <w:r>
              <w:rPr>
                <w:b w:val="false"/>
                <w:bCs w:val="false"/>
                <w:color w:val="000000"/>
              </w:rPr>
              <w:t xml:space="preserve">Setup + sistema de diseño (tokens, tipografías)</w:t>
            </w:r>
          </w:p>
        </w:tc>
        <w:tc>
          <w:tcPr>
            <w:tcW w:type="dxa" w:w="1400"/>
            <w:tcMar>
              <w:top w:type="dxa" w:w="100"/>
              <w:left w:type="dxa" w:w="120"/>
              <w:bottom w:type="dxa" w:w="100"/>
              <w:right w:type="dxa" w:w="120"/>
            </w:tcMar>
          </w:tcPr>
          <w:p>
            <w:pPr>
              <w:jc w:val="left"/>
            </w:pPr>
            <w:r>
              <w:rPr>
                <w:b w:val="false"/>
                <w:bCs w:val="false"/>
                <w:color w:val="000000"/>
              </w:rPr>
              <w:t xml:space="preserve">5–8h</w:t>
            </w:r>
          </w:p>
        </w:tc>
        <w:tc>
          <w:tcPr>
            <w:tcW w:type="dxa" w:w="3600"/>
            <w:tcMar>
              <w:top w:type="dxa" w:w="100"/>
              <w:left w:type="dxa" w:w="120"/>
              <w:bottom w:type="dxa" w:w="100"/>
              <w:right w:type="dxa" w:w="120"/>
            </w:tcMar>
          </w:tcPr>
          <w:p>
            <w:pPr>
              <w:jc w:val="left"/>
            </w:pPr>
            <w:r>
              <w:rPr>
                <w:b w:val="false"/>
                <w:bCs w:val="false"/>
                <w:color w:val="000000"/>
              </w:rPr>
              <w:t xml:space="preserve">Next.js, Tailwind, globals.css con tokens de marca</w:t>
            </w:r>
          </w:p>
        </w:tc>
      </w:tr>
      <w:tr>
        <w:tc>
          <w:tcPr>
            <w:tcW w:type="dxa" w:w="4360"/>
            <w:tcMar>
              <w:top w:type="dxa" w:w="100"/>
              <w:left w:type="dxa" w:w="120"/>
              <w:bottom w:type="dxa" w:w="100"/>
              <w:right w:type="dxa" w:w="120"/>
            </w:tcMar>
          </w:tcPr>
          <w:p>
            <w:pPr>
              <w:jc w:val="left"/>
            </w:pPr>
            <w:r>
              <w:rPr>
                <w:b w:val="false"/>
                <w:bCs w:val="false"/>
                <w:color w:val="000000"/>
              </w:rPr>
              <w:t xml:space="preserve">Hero custom (silueta, animaciones, hover)</w:t>
            </w:r>
          </w:p>
        </w:tc>
        <w:tc>
          <w:tcPr>
            <w:tcW w:type="dxa" w:w="1400"/>
            <w:tcMar>
              <w:top w:type="dxa" w:w="100"/>
              <w:left w:type="dxa" w:w="120"/>
              <w:bottom w:type="dxa" w:w="100"/>
              <w:right w:type="dxa" w:w="120"/>
            </w:tcMar>
          </w:tcPr>
          <w:p>
            <w:pPr>
              <w:jc w:val="left"/>
            </w:pPr>
            <w:r>
              <w:rPr>
                <w:b w:val="false"/>
                <w:bCs w:val="false"/>
                <w:color w:val="000000"/>
              </w:rPr>
              <w:t xml:space="preserve">8–10h</w:t>
            </w:r>
          </w:p>
        </w:tc>
        <w:tc>
          <w:tcPr>
            <w:tcW w:type="dxa" w:w="3600"/>
            <w:tcMar>
              <w:top w:type="dxa" w:w="100"/>
              <w:left w:type="dxa" w:w="120"/>
              <w:bottom w:type="dxa" w:w="100"/>
              <w:right w:type="dxa" w:w="120"/>
            </w:tcMar>
          </w:tcPr>
          <w:p>
            <w:pPr>
              <w:jc w:val="left"/>
            </w:pPr>
            <w:r>
              <w:rPr>
                <w:b w:val="false"/>
                <w:bCs w:val="false"/>
                <w:color w:val="000000"/>
              </w:rPr>
              <w:t xml:space="preserve">Incluye ajustes de responsive mobile</w:t>
            </w:r>
          </w:p>
        </w:tc>
      </w:tr>
      <w:tr>
        <w:tc>
          <w:tcPr>
            <w:tcW w:type="dxa" w:w="4360"/>
            <w:tcMar>
              <w:top w:type="dxa" w:w="100"/>
              <w:left w:type="dxa" w:w="120"/>
              <w:bottom w:type="dxa" w:w="100"/>
              <w:right w:type="dxa" w:w="120"/>
            </w:tcMar>
          </w:tcPr>
          <w:p>
            <w:pPr>
              <w:jc w:val="left"/>
            </w:pPr>
            <w:r>
              <w:rPr>
                <w:b w:val="false"/>
                <w:bCs w:val="false"/>
                <w:color w:val="000000"/>
              </w:rPr>
              <w:t xml:space="preserve">Catálogo + cards + fichas de detalle</w:t>
            </w:r>
          </w:p>
        </w:tc>
        <w:tc>
          <w:tcPr>
            <w:tcW w:type="dxa" w:w="1400"/>
            <w:tcMar>
              <w:top w:type="dxa" w:w="100"/>
              <w:left w:type="dxa" w:w="120"/>
              <w:bottom w:type="dxa" w:w="100"/>
              <w:right w:type="dxa" w:w="120"/>
            </w:tcMar>
          </w:tcPr>
          <w:p>
            <w:pPr>
              <w:jc w:val="left"/>
            </w:pPr>
            <w:r>
              <w:rPr>
                <w:b w:val="false"/>
                <w:bCs w:val="false"/>
                <w:color w:val="000000"/>
              </w:rPr>
              <w:t xml:space="preserve">10–15h</w:t>
            </w:r>
          </w:p>
        </w:tc>
        <w:tc>
          <w:tcPr>
            <w:tcW w:type="dxa" w:w="3600"/>
            <w:tcMar>
              <w:top w:type="dxa" w:w="100"/>
              <w:left w:type="dxa" w:w="120"/>
              <w:bottom w:type="dxa" w:w="100"/>
              <w:right w:type="dxa" w:w="120"/>
            </w:tcMar>
          </w:tcPr>
          <w:p>
            <w:pPr>
              <w:jc w:val="left"/>
            </w:pPr>
            <w:r>
              <w:rPr>
                <w:b w:val="false"/>
                <w:bCs w:val="false"/>
                <w:color w:val="000000"/>
              </w:rPr>
              <w:t xml:space="preserve">18 productos, click-to-detail, acentos por producto</w:t>
            </w:r>
          </w:p>
        </w:tc>
      </w:tr>
      <w:tr>
        <w:tc>
          <w:tcPr>
            <w:tcW w:type="dxa" w:w="4360"/>
            <w:tcMar>
              <w:top w:type="dxa" w:w="100"/>
              <w:left w:type="dxa" w:w="120"/>
              <w:bottom w:type="dxa" w:w="100"/>
              <w:right w:type="dxa" w:w="120"/>
            </w:tcMar>
          </w:tcPr>
          <w:p>
            <w:pPr>
              <w:jc w:val="left"/>
            </w:pPr>
            <w:r>
              <w:rPr>
                <w:b w:val="false"/>
                <w:bCs w:val="false"/>
                <w:color w:val="000000"/>
              </w:rPr>
              <w:t xml:space="preserve">Carrusel mobile Dessert Jars</w:t>
            </w:r>
          </w:p>
        </w:tc>
        <w:tc>
          <w:tcPr>
            <w:tcW w:type="dxa" w:w="1400"/>
            <w:tcMar>
              <w:top w:type="dxa" w:w="100"/>
              <w:left w:type="dxa" w:w="120"/>
              <w:bottom w:type="dxa" w:w="100"/>
              <w:right w:type="dxa" w:w="120"/>
            </w:tcMar>
          </w:tcPr>
          <w:p>
            <w:pPr>
              <w:jc w:val="left"/>
            </w:pPr>
            <w:r>
              <w:rPr>
                <w:b w:val="false"/>
                <w:bCs w:val="false"/>
                <w:color w:val="000000"/>
              </w:rPr>
              <w:t xml:space="preserve">3–5h</w:t>
            </w:r>
          </w:p>
        </w:tc>
        <w:tc>
          <w:tcPr>
            <w:tcW w:type="dxa" w:w="3600"/>
            <w:tcMar>
              <w:top w:type="dxa" w:w="100"/>
              <w:left w:type="dxa" w:w="120"/>
              <w:bottom w:type="dxa" w:w="100"/>
              <w:right w:type="dxa" w:w="120"/>
            </w:tcMar>
          </w:tcPr>
          <w:p>
            <w:pPr>
              <w:jc w:val="left"/>
            </w:pPr>
            <w:r>
              <w:rPr>
                <w:b w:val="false"/>
                <w:bCs w:val="false"/>
                <w:color w:val="000000"/>
              </w:rPr>
              <w:t xml:space="preserve">Scroll-snap nativo, sin librerías</w:t>
            </w:r>
          </w:p>
        </w:tc>
      </w:tr>
      <w:tr>
        <w:tc>
          <w:tcPr>
            <w:tcW w:type="dxa" w:w="4360"/>
            <w:tcMar>
              <w:top w:type="dxa" w:w="100"/>
              <w:left w:type="dxa" w:w="120"/>
              <w:bottom w:type="dxa" w:w="100"/>
              <w:right w:type="dxa" w:w="120"/>
            </w:tcMar>
          </w:tcPr>
          <w:p>
            <w:pPr>
              <w:jc w:val="left"/>
            </w:pPr>
            <w:r>
              <w:rPr>
                <w:b w:val="false"/>
                <w:bCs w:val="false"/>
                <w:color w:val="000000"/>
              </w:rPr>
              <w:t xml:space="preserve">Footer + contacto + pulido visual</w:t>
            </w:r>
          </w:p>
        </w:tc>
        <w:tc>
          <w:tcPr>
            <w:tcW w:type="dxa" w:w="1400"/>
            <w:tcMar>
              <w:top w:type="dxa" w:w="100"/>
              <w:left w:type="dxa" w:w="120"/>
              <w:bottom w:type="dxa" w:w="100"/>
              <w:right w:type="dxa" w:w="120"/>
            </w:tcMar>
          </w:tcPr>
          <w:p>
            <w:pPr>
              <w:jc w:val="left"/>
            </w:pPr>
            <w:r>
              <w:rPr>
                <w:b w:val="false"/>
                <w:bCs w:val="false"/>
                <w:color w:val="000000"/>
              </w:rPr>
              <w:t xml:space="preserve">4–6h</w:t>
            </w:r>
          </w:p>
        </w:tc>
        <w:tc>
          <w:tcPr>
            <w:tcW w:type="dxa" w:w="3600"/>
            <w:tcMar>
              <w:top w:type="dxa" w:w="100"/>
              <w:left w:type="dxa" w:w="120"/>
              <w:bottom w:type="dxa" w:w="100"/>
              <w:right w:type="dxa" w:w="120"/>
            </w:tcMar>
          </w:tcPr>
          <w:p>
            <w:pPr>
              <w:jc w:val="left"/>
            </w:pPr>
            <w:r>
              <w:rPr>
                <w:b w:val="false"/>
                <w:bCs w:val="false"/>
                <w:color w:val="000000"/>
              </w:rPr>
              <w:t xml:space="preserve">Integración de palmeras, CTA WhatsApp</w:t>
            </w:r>
          </w:p>
        </w:tc>
      </w:tr>
      <w:tr>
        <w:tc>
          <w:tcPr>
            <w:tcW w:type="dxa" w:w="4360"/>
            <w:tcMar>
              <w:top w:type="dxa" w:w="100"/>
              <w:left w:type="dxa" w:w="120"/>
              <w:bottom w:type="dxa" w:w="100"/>
              <w:right w:type="dxa" w:w="120"/>
            </w:tcMar>
          </w:tcPr>
          <w:p>
            <w:pPr>
              <w:jc w:val="left"/>
            </w:pPr>
            <w:r>
              <w:rPr>
                <w:b w:val="false"/>
                <w:bCs w:val="false"/>
                <w:color w:val="000000"/>
              </w:rPr>
              <w:t xml:space="preserve">Rondas de ajuste y QA responsive</w:t>
            </w:r>
          </w:p>
        </w:tc>
        <w:tc>
          <w:tcPr>
            <w:tcW w:type="dxa" w:w="1400"/>
            <w:tcMar>
              <w:top w:type="dxa" w:w="100"/>
              <w:left w:type="dxa" w:w="120"/>
              <w:bottom w:type="dxa" w:w="100"/>
              <w:right w:type="dxa" w:w="120"/>
            </w:tcMar>
          </w:tcPr>
          <w:p>
            <w:pPr>
              <w:jc w:val="left"/>
            </w:pPr>
            <w:r>
              <w:rPr>
                <w:b w:val="false"/>
                <w:bCs w:val="false"/>
                <w:color w:val="000000"/>
              </w:rPr>
              <w:t xml:space="preserve">8–12h</w:t>
            </w:r>
          </w:p>
        </w:tc>
        <w:tc>
          <w:tcPr>
            <w:tcW w:type="dxa" w:w="3600"/>
            <w:tcMar>
              <w:top w:type="dxa" w:w="100"/>
              <w:left w:type="dxa" w:w="120"/>
              <w:bottom w:type="dxa" w:w="100"/>
              <w:right w:type="dxa" w:w="120"/>
            </w:tcMar>
          </w:tcPr>
          <w:p>
            <w:pPr>
              <w:jc w:val="left"/>
            </w:pPr>
            <w:r>
              <w:rPr>
                <w:b w:val="false"/>
                <w:bCs w:val="false"/>
                <w:color w:val="000000"/>
              </w:rPr>
              <w:t xml:space="preserve">Iteraciones ya realizadas + cierre final</w:t>
            </w:r>
          </w:p>
        </w:tc>
      </w:tr>
    </w:tbl>
    <w:p>
      <w:pPr>
        <w:spacing w:after="160"/>
      </w:pPr>
      <w:r>
        <w:t xml:space="preserve"/>
      </w:r>
    </w:p>
    <w:p>
      <w:pPr>
        <w:spacing w:after="160"/>
      </w:pPr>
      <w:r>
        <w:t xml:space="preserve">Total estimado: 38–56 horas. A una tarifa intermedia de USD 35–50/hora (razonable para frontend custom con animación, sin ser tarifa senior top), el desarrollo completo se ubica en:</w:t>
      </w:r>
    </w:p>
    <w:p>
      <w:pPr>
        <w:spacing w:after="200"/>
      </w:pPr>
      <w:r>
        <w:rPr>
          <w:b/>
          <w:bCs/>
          <w:color w:val="1E3A2B"/>
          <w:sz w:val="26"/>
          <w:szCs w:val="26"/>
        </w:rPr>
        <w:t xml:space="preserve">Rango recomendado: USD 1,500 – 2,500 por el sitio completo (pago único).</w:t>
      </w:r>
    </w:p>
    <w:p>
      <w:pPr>
        <w:spacing w:after="160"/>
      </w:pPr>
      <w:r>
        <w:t xml:space="preserve">Si preferís cobrar por tiers en vez de por horas:</w:t>
      </w:r>
    </w:p>
    <w:p>
      <w:pPr>
        <w:pStyle w:val="ListParagraph"/>
        <w:numPr>
          <w:ilvl w:val="0"/>
          <w:numId w:val="2"/>
        </w:numPr>
        <w:spacing w:after="80"/>
      </w:pPr>
      <w:r>
        <w:t xml:space="preserve">Básico (sin animaciones custom, catálogo simple): USD 800 – 1,200 — no aplica acá, ya se superó este alcance.</w:t>
      </w:r>
    </w:p>
    <w:p>
      <w:pPr>
        <w:pStyle w:val="ListParagraph"/>
        <w:numPr>
          <w:ilvl w:val="0"/>
          <w:numId w:val="2"/>
        </w:numPr>
        <w:spacing w:after="80"/>
      </w:pPr>
      <w:r>
        <w:t xml:space="preserve">Estándar a medida (lo entregado): USD 1,500 – 2,000.</w:t>
      </w:r>
    </w:p>
    <w:p>
      <w:pPr>
        <w:pStyle w:val="ListParagraph"/>
        <w:numPr>
          <w:ilvl w:val="0"/>
          <w:numId w:val="2"/>
        </w:numPr>
        <w:spacing w:after="80"/>
      </w:pPr>
      <w:r>
        <w:t xml:space="preserve">Premium con extras (más animaciones, secciones nuevas, multilenguaje): USD 2,000 – 2,800.</w:t>
      </w:r>
    </w:p>
    <w:p>
      <w:pPr>
        <w:pStyle w:val="Heading1"/>
      </w:pPr>
      <w:r>
        <w:t xml:space="preserve">5. Costos de infraestructura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60"/>
        <w:gridCol w:w="2800"/>
        <w:gridCol w:w="2200"/>
      </w:tblGrid>
      <w:tr>
        <w:tc>
          <w:tcPr>
            <w:tcW w:type="dxa" w:w="4360"/>
            <w:shd w:fill="1E3A2B" w:val="clear"/>
            <w:tcMar>
              <w:top w:type="dxa" w:w="100"/>
              <w:left w:type="dxa" w:w="120"/>
              <w:bottom w:type="dxa" w:w="100"/>
              <w:right w:type="dxa" w:w="120"/>
            </w:tcMar>
          </w:tcPr>
          <w:p>
            <w:pPr>
              <w:jc w:val="left"/>
            </w:pPr>
            <w:r>
              <w:rPr>
                <w:b/>
                <w:bCs/>
                <w:color w:val="FFFFFF"/>
              </w:rPr>
              <w:t xml:space="preserve">Servicio</w:t>
            </w:r>
          </w:p>
        </w:tc>
        <w:tc>
          <w:tcPr>
            <w:tcW w:type="dxa" w:w="2800"/>
            <w:shd w:fill="1E3A2B" w:val="clear"/>
            <w:tcMar>
              <w:top w:type="dxa" w:w="100"/>
              <w:left w:type="dxa" w:w="120"/>
              <w:bottom w:type="dxa" w:w="100"/>
              <w:right w:type="dxa" w:w="120"/>
            </w:tcMar>
          </w:tcPr>
          <w:p>
            <w:pPr>
              <w:jc w:val="left"/>
            </w:pPr>
            <w:r>
              <w:rPr>
                <w:b/>
                <w:bCs/>
                <w:color w:val="FFFFFF"/>
              </w:rPr>
              <w:t xml:space="preserve">Costo</w:t>
            </w:r>
          </w:p>
        </w:tc>
        <w:tc>
          <w:tcPr>
            <w:tcW w:type="dxa" w:w="2200"/>
            <w:shd w:fill="1E3A2B" w:val="clear"/>
            <w:tcMar>
              <w:top w:type="dxa" w:w="100"/>
              <w:left w:type="dxa" w:w="120"/>
              <w:bottom w:type="dxa" w:w="100"/>
              <w:right w:type="dxa" w:w="120"/>
            </w:tcMar>
          </w:tcPr>
          <w:p>
            <w:pPr>
              <w:jc w:val="left"/>
            </w:pPr>
            <w:r>
              <w:rPr>
                <w:b/>
                <w:bCs/>
                <w:color w:val="FFFFFF"/>
              </w:rPr>
              <w:t xml:space="preserve">Nota</w:t>
            </w:r>
          </w:p>
        </w:tc>
      </w:tr>
      <w:tr>
        <w:tc>
          <w:tcPr>
            <w:tcW w:type="dxa" w:w="4360"/>
            <w:tcMar>
              <w:top w:type="dxa" w:w="100"/>
              <w:left w:type="dxa" w:w="120"/>
              <w:bottom w:type="dxa" w:w="100"/>
              <w:right w:type="dxa" w:w="120"/>
            </w:tcMar>
          </w:tcPr>
          <w:p>
            <w:pPr>
              <w:jc w:val="left"/>
            </w:pPr>
            <w:r>
              <w:rPr>
                <w:b w:val="false"/>
                <w:bCs w:val="false"/>
                <w:color w:val="000000"/>
              </w:rPr>
              <w:t xml:space="preserve">Dominio (.com, Porkbun)</w:t>
            </w:r>
          </w:p>
        </w:tc>
        <w:tc>
          <w:tcPr>
            <w:tcW w:type="dxa" w:w="2800"/>
            <w:tcMar>
              <w:top w:type="dxa" w:w="100"/>
              <w:left w:type="dxa" w:w="120"/>
              <w:bottom w:type="dxa" w:w="100"/>
              <w:right w:type="dxa" w:w="120"/>
            </w:tcMar>
          </w:tcPr>
          <w:p>
            <w:pPr>
              <w:jc w:val="left"/>
            </w:pPr>
            <w:r>
              <w:rPr>
                <w:b w:val="false"/>
                <w:bCs w:val="false"/>
                <w:color w:val="000000"/>
              </w:rPr>
              <w:t xml:space="preserve">~USD 10 – 12 / año</w:t>
            </w:r>
          </w:p>
        </w:tc>
        <w:tc>
          <w:tcPr>
            <w:tcW w:type="dxa" w:w="2200"/>
            <w:tcMar>
              <w:top w:type="dxa" w:w="100"/>
              <w:left w:type="dxa" w:w="120"/>
              <w:bottom w:type="dxa" w:w="100"/>
              <w:right w:type="dxa" w:w="120"/>
            </w:tcMar>
          </w:tcPr>
          <w:p>
            <w:pPr>
              <w:jc w:val="left"/>
            </w:pPr>
            <w:r>
              <w:rPr>
                <w:b w:val="false"/>
                <w:bCs w:val="false"/>
                <w:color w:val="000000"/>
              </w:rPr>
              <w:t xml:space="preserve">Precio igual en renovación, sin sorpresas de primer año vs. renovación</w:t>
            </w:r>
          </w:p>
        </w:tc>
      </w:tr>
      <w:tr>
        <w:tc>
          <w:tcPr>
            <w:tcW w:type="dxa" w:w="4360"/>
            <w:tcMar>
              <w:top w:type="dxa" w:w="100"/>
              <w:left w:type="dxa" w:w="120"/>
              <w:bottom w:type="dxa" w:w="100"/>
              <w:right w:type="dxa" w:w="120"/>
            </w:tcMar>
          </w:tcPr>
          <w:p>
            <w:pPr>
              <w:jc w:val="left"/>
            </w:pPr>
            <w:r>
              <w:rPr>
                <w:b w:val="false"/>
                <w:bCs w:val="false"/>
                <w:color w:val="000000"/>
              </w:rPr>
              <w:t xml:space="preserve">Hosting (Vercel, plan Hobby)</w:t>
            </w:r>
          </w:p>
        </w:tc>
        <w:tc>
          <w:tcPr>
            <w:tcW w:type="dxa" w:w="2800"/>
            <w:tcMar>
              <w:top w:type="dxa" w:w="100"/>
              <w:left w:type="dxa" w:w="120"/>
              <w:bottom w:type="dxa" w:w="100"/>
              <w:right w:type="dxa" w:w="120"/>
            </w:tcMar>
          </w:tcPr>
          <w:p>
            <w:pPr>
              <w:jc w:val="left"/>
            </w:pPr>
            <w:r>
              <w:rPr>
                <w:b w:val="false"/>
                <w:bCs w:val="false"/>
                <w:color w:val="000000"/>
              </w:rPr>
              <w:t xml:space="preserve">Gratis</w:t>
            </w:r>
          </w:p>
        </w:tc>
        <w:tc>
          <w:tcPr>
            <w:tcW w:type="dxa" w:w="2200"/>
            <w:tcMar>
              <w:top w:type="dxa" w:w="100"/>
              <w:left w:type="dxa" w:w="120"/>
              <w:bottom w:type="dxa" w:w="100"/>
              <w:right w:type="dxa" w:w="120"/>
            </w:tcMar>
          </w:tcPr>
          <w:p>
            <w:pPr>
              <w:jc w:val="left"/>
            </w:pPr>
            <w:r>
              <w:rPr>
                <w:b w:val="false"/>
                <w:bCs w:val="false"/>
                <w:color w:val="000000"/>
              </w:rPr>
              <w:t xml:space="preserve">Uso comercial no permitido en Hobby — no usar para este sitio</w:t>
            </w:r>
          </w:p>
        </w:tc>
      </w:tr>
      <w:tr>
        <w:tc>
          <w:tcPr>
            <w:tcW w:type="dxa" w:w="4360"/>
            <w:tcMar>
              <w:top w:type="dxa" w:w="100"/>
              <w:left w:type="dxa" w:w="120"/>
              <w:bottom w:type="dxa" w:w="100"/>
              <w:right w:type="dxa" w:w="120"/>
            </w:tcMar>
          </w:tcPr>
          <w:p>
            <w:pPr>
              <w:jc w:val="left"/>
            </w:pPr>
            <w:r>
              <w:rPr>
                <w:b w:val="false"/>
                <w:bCs w:val="false"/>
                <w:color w:val="000000"/>
              </w:rPr>
              <w:t xml:space="preserve">Hosting (Vercel, plan Pro)</w:t>
            </w:r>
          </w:p>
        </w:tc>
        <w:tc>
          <w:tcPr>
            <w:tcW w:type="dxa" w:w="2800"/>
            <w:tcMar>
              <w:top w:type="dxa" w:w="100"/>
              <w:left w:type="dxa" w:w="120"/>
              <w:bottom w:type="dxa" w:w="100"/>
              <w:right w:type="dxa" w:w="120"/>
            </w:tcMar>
          </w:tcPr>
          <w:p>
            <w:pPr>
              <w:jc w:val="left"/>
            </w:pPr>
            <w:r>
              <w:rPr>
                <w:b w:val="false"/>
                <w:bCs w:val="false"/>
                <w:color w:val="000000"/>
              </w:rPr>
              <w:t xml:space="preserve">USD 20 / mes por asiento</w:t>
            </w:r>
          </w:p>
        </w:tc>
        <w:tc>
          <w:tcPr>
            <w:tcW w:type="dxa" w:w="2200"/>
            <w:tcMar>
              <w:top w:type="dxa" w:w="100"/>
              <w:left w:type="dxa" w:w="120"/>
              <w:bottom w:type="dxa" w:w="100"/>
              <w:right w:type="dxa" w:w="120"/>
            </w:tcMar>
          </w:tcPr>
          <w:p>
            <w:pPr>
              <w:jc w:val="left"/>
            </w:pPr>
            <w:r>
              <w:rPr>
                <w:b w:val="false"/>
                <w:bCs w:val="false"/>
                <w:color w:val="000000"/>
              </w:rPr>
              <w:t xml:space="preserve">Recomendado: es un sitio comercial, requiere plan Pro</w:t>
            </w:r>
          </w:p>
        </w:tc>
      </w:tr>
    </w:tbl>
    <w:p>
      <w:pPr>
        <w:spacing w:after="160"/>
      </w:pPr>
      <w:r>
        <w:t xml:space="preserve"/>
      </w:r>
    </w:p>
    <w:p>
      <w:pPr>
        <w:spacing w:after="160"/>
      </w:pPr>
      <w:r>
        <w:t xml:space="preserve">Costo de infraestructura aproximado: USD 20–22/mes (~USD 250/año) sumando hosting + dominio amortizado. Definir con el cliente quién paga esto directamente (recomendado: que el cliente tenga su propia cuenta de Vercel/Porkbun y pague ahí — evita que factures infraestructura de terceros con margen, lo cual puede generar fricción).</w:t>
      </w:r>
    </w:p>
    <w:p>
      <w:pPr>
        <w:pStyle w:val="Heading1"/>
      </w:pPr>
      <w:r>
        <w:t xml:space="preserve">6. Modelo de cobro sugerido</w:t>
      </w:r>
    </w:p>
    <w:p>
      <w:pPr>
        <w:pStyle w:val="ListParagraph"/>
        <w:numPr>
          <w:ilvl w:val="0"/>
          <w:numId w:val="2"/>
        </w:numPr>
        <w:spacing w:after="80"/>
      </w:pPr>
      <w:r>
        <w:t xml:space="preserve">30% al iniciar el proyecto (ya cobrable, retroactivo si aplica).</w:t>
      </w:r>
    </w:p>
    <w:p>
      <w:pPr>
        <w:pStyle w:val="ListParagraph"/>
        <w:numPr>
          <w:ilvl w:val="0"/>
          <w:numId w:val="2"/>
        </w:numPr>
        <w:spacing w:after="80"/>
      </w:pPr>
      <w:r>
        <w:t xml:space="preserve">40% al aprobar el diseño visual (hito ya alcanzado con las secciones construidas).</w:t>
      </w:r>
    </w:p>
    <w:p>
      <w:pPr>
        <w:pStyle w:val="ListParagraph"/>
        <w:numPr>
          <w:ilvl w:val="0"/>
          <w:numId w:val="2"/>
        </w:numPr>
        <w:spacing w:after="80"/>
      </w:pPr>
      <w:r>
        <w:t xml:space="preserve">30% contra entrega final / lanzamiento a producción.</w:t>
      </w:r>
    </w:p>
    <w:p>
      <w:pPr>
        <w:spacing w:after="160"/>
      </w:pPr>
      <w:r>
        <w:t xml:space="preserve">Alternativa más simple: 50% adelanto / 50% contra entrega.</w:t>
      </w:r>
    </w:p>
    <w:p>
      <w:pPr>
        <w:pStyle w:val="Heading1"/>
      </w:pPr>
      <w:r>
        <w:t xml:space="preserve">7. Mantenimiento post-lanzamiento (opcional)</w:t>
      </w:r>
    </w:p>
    <w:p>
      <w:pPr>
        <w:spacing w:after="160"/>
      </w:pPr>
      <w:r>
        <w:t xml:space="preserve">Este sitio no tiene backend ni base de datos — el mantenimiento típico es liviano: cambios de precio, copy, o ajustes menores de diseño.</w:t>
      </w:r>
    </w:p>
    <w:p>
      <w:pPr>
        <w:pStyle w:val="ListParagraph"/>
        <w:numPr>
          <w:ilvl w:val="0"/>
          <w:numId w:val="2"/>
        </w:numPr>
        <w:spacing w:after="80"/>
      </w:pPr>
      <w:r>
        <w:t xml:space="preserve">Retainer liviano: USD 50 – 100/mes (incluye pequeños cambios, hasta 2–3 horas/mes).</w:t>
      </w:r>
    </w:p>
    <w:p>
      <w:pPr>
        <w:pStyle w:val="ListParagraph"/>
        <w:numPr>
          <w:ilvl w:val="0"/>
          <w:numId w:val="2"/>
        </w:numPr>
        <w:spacing w:after="80"/>
      </w:pPr>
      <w:r>
        <w:t xml:space="preserve">O cobro por hora bajo demanda: USD 30 – 40/hora, sin retainer fijo.</w:t>
      </w:r>
    </w:p>
    <w:p>
      <w:pPr>
        <w:pStyle w:val="Heading1"/>
      </w:pPr>
      <w:r>
        <w:t xml:space="preserve">8. Notas y supuestos</w:t>
      </w:r>
    </w:p>
    <w:p>
      <w:pPr>
        <w:spacing w:after="160"/>
      </w:pPr>
      <w:r>
        <w:rPr>
          <w:i/>
          <w:iCs/>
          <w:color w:val="444444"/>
          <w:sz w:val="20"/>
          <w:szCs w:val="20"/>
        </w:rPr>
        <w:t xml:space="preserve">Esta es una guía orientativa basada en tarifas de mercado relevadas en julio 2026, no una tasación exacta ni asesoría financiera formal. El precio final depende de tu relación con el cliente, urgencia del proyecto, y cuánto valorás tu propio tiempo — ajustá el rango según tu criterio.</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20"/>
      <w:outlineLvl w:val="0"/>
    </w:pPr>
    <w:rPr>
      <w:rFonts w:ascii="Arial" w:cs="Arial" w:eastAsia="Arial" w:hAnsi="Arial"/>
      <w:b/>
      <w:bCs/>
      <w:color w:val="1E3A2B"/>
      <w:sz w:val="30"/>
      <w:szCs w:val="30"/>
    </w:rPr>
  </w:style>
  <w:style w:type="paragraph" w:styleId="Heading2">
    <w:name w:val="Heading 2"/>
    <w:basedOn w:val="Normal"/>
    <w:next w:val="Normal"/>
    <w:qFormat/>
    <w:pPr>
      <w:spacing w:after="140" w:before="260"/>
      <w:outlineLvl w:val="1"/>
    </w:pPr>
    <w:rPr>
      <w:rFonts w:ascii="Arial" w:cs="Arial" w:eastAsia="Arial" w:hAnsi="Arial"/>
      <w:b/>
      <w:bCs/>
      <w:color w:val="D08A2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2026-07-03T13:24:24.386Z</dcterms:created>
  <dcterms:modified xsi:type="dcterms:W3CDTF">2026-07-03T13:24:24.386Z</dcterms:modified>
</cp:coreProperties>
</file>

<file path=docProps/custom.xml><?xml version="1.0" encoding="utf-8"?>
<Properties xmlns="http://schemas.openxmlformats.org/officeDocument/2006/custom-properties" xmlns:vt="http://schemas.openxmlformats.org/officeDocument/2006/docPropsVTypes"/>
</file>