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0"/>
          <w:szCs w:val="20"/>
        </w:rPr>
        <w:t xml:space="preserve"/>
      </w:r>
    </w:p>
    <w:p>
      <w:r>
        <w:rPr>
          <w:sz w:val="20"/>
          <w:szCs w:val="20"/>
        </w:rPr>
        <w:t xml:space="preserve"/>
      </w:r>
    </w:p>
    <w:p>
      <w:pPr>
        <w:spacing w:after="80" w:before="0"/>
      </w:pPr>
      <w:r>
        <w:rPr>
          <w:rFonts w:ascii="Arial" w:cs="Arial" w:eastAsia="Arial" w:hAnsi="Arial"/>
          <w:color w:val="0091DA"/>
          <w:sz w:val="24"/>
          <w:szCs w:val="24"/>
        </w:rPr>
        <w:t xml:space="preserve">KPMG Technology Advisory</w:t>
      </w:r>
    </w:p>
    <w:p>
      <w:pPr>
        <w:spacing w:after="160" w:before="0"/>
      </w:pPr>
      <w:r>
        <w:rPr>
          <w:rFonts w:ascii="Arial" w:cs="Arial" w:eastAsia="Arial" w:hAnsi="Arial"/>
          <w:b/>
          <w:bCs/>
          <w:color w:val="00338D"/>
          <w:sz w:val="48"/>
          <w:szCs w:val="48"/>
        </w:rPr>
        <w:t xml:space="preserve">Enabling Clickable Follow-up UX in Gemini Enterprise Agents</w:t>
      </w:r>
    </w:p>
    <w:p>
      <w:pPr>
        <w:spacing w:after="80" w:before="0"/>
      </w:pPr>
      <w:r>
        <w:rPr>
          <w:rFonts w:ascii="Arial" w:cs="Arial" w:eastAsia="Arial" w:hAnsi="Arial"/>
          <w:color w:val="555555"/>
          <w:sz w:val="24"/>
          <w:szCs w:val="24"/>
        </w:rPr>
        <w:t xml:space="preserve">Developer Briefing — A2UI Integration Guide</w:t>
      </w:r>
    </w:p>
    <w:p>
      <w:pPr>
        <w:spacing w:after="400" w:before="0"/>
      </w:pPr>
      <w:r>
        <w:rPr>
          <w:rFonts w:ascii="Arial" w:cs="Arial" w:eastAsia="Arial" w:hAnsi="Arial"/>
          <w:color w:val="555555"/>
          <w:sz w:val="20"/>
          <w:szCs w:val="20"/>
        </w:rPr>
        <w:t xml:space="preserve">June 2026  |  Internal Reference — KPMG Confidential</w:t>
      </w:r>
    </w:p>
    <w:p>
      <w:pPr>
        <w:pBdr>
          <w:bottom w:val="single" w:color="00338D" w:sz="12" w:space="1"/>
        </w:pBdr>
      </w:pPr>
    </w:p>
    <w:p>
      <w:r>
        <w:rPr>
          <w:sz w:val="20"/>
          <w:szCs w:val="20"/>
        </w:rPr>
        <w:t xml:space="preserve"/>
      </w:r>
    </w:p>
    <w:p>
      <w:pPr>
        <w:pBdr>
          <w:bottom w:val="single" w:color="005EB8" w:sz="8" w:space="6"/>
        </w:pBdr>
        <w:spacing w:after="160" w:before="400"/>
      </w:pPr>
      <w:r>
        <w:rPr>
          <w:rFonts w:ascii="Arial" w:cs="Arial" w:eastAsia="Arial" w:hAnsi="Arial"/>
          <w:b/>
          <w:bCs/>
          <w:color w:val="005EB8"/>
          <w:sz w:val="28"/>
          <w:szCs w:val="28"/>
        </w:rPr>
        <w:t xml:space="preserve">1. Background &amp; Problem Statement</w:t>
      </w:r>
    </w:p>
    <w:p>
      <w:pPr>
        <w:spacing w:after="80" w:before="80"/>
      </w:pPr>
      <w:r>
        <w:rPr>
          <w:rFonts w:ascii="Arial" w:cs="Arial" w:eastAsia="Arial" w:hAnsi="Arial"/>
          <w:color w:val="555555"/>
          <w:sz w:val="20"/>
          <w:szCs w:val="20"/>
        </w:rPr>
        <w:t xml:space="preserve">Our ADK-based agent is deployed on Gemini Enterprise Agent Engine and registered in the Gemini Enterprise chat surface. The agent's system prompt includes follow-up questions to guide the user through multi-turn workflows — however, users currently have to read those questions and type them manually, creating unnecessary friction.</w:t>
      </w:r>
    </w:p>
    <w:p>
      <w:r>
        <w:rPr>
          <w:sz w:val="20"/>
          <w:szCs w:val="20"/>
        </w:rPr>
        <w:t xml:space="preserve"/>
      </w:r>
    </w:p>
    <w:p>
      <w:pPr>
        <w:spacing w:after="80" w:before="80"/>
      </w:pPr>
      <w:r>
        <w:rPr>
          <w:rFonts w:ascii="Arial" w:cs="Arial" w:eastAsia="Arial" w:hAnsi="Arial"/>
          <w:color w:val="555555"/>
          <w:sz w:val="20"/>
          <w:szCs w:val="20"/>
        </w:rPr>
        <w:t xml:space="preserve">This briefing documents the recommended solution and provides the technical steps needed to implement it.</w:t>
      </w:r>
    </w:p>
    <w:p>
      <w:r>
        <w:rPr>
          <w:sz w:val="20"/>
          <w:szCs w:val="20"/>
        </w:rPr>
        <w:t xml:space="preserve"/>
      </w:r>
    </w:p>
    <w:p>
      <w:pPr>
        <w:pBdr>
          <w:bottom w:val="single" w:color="005EB8" w:sz="8" w:space="6"/>
        </w:pBdr>
        <w:spacing w:after="160" w:before="400"/>
      </w:pPr>
      <w:r>
        <w:rPr>
          <w:rFonts w:ascii="Arial" w:cs="Arial" w:eastAsia="Arial" w:hAnsi="Arial"/>
          <w:b/>
          <w:bCs/>
          <w:color w:val="005EB8"/>
          <w:sz w:val="28"/>
          <w:szCs w:val="28"/>
        </w:rPr>
        <w:t xml:space="preserve">2. Recommended Solution: A2UI Protocol</w:t>
      </w:r>
    </w:p>
    <w:p>
      <w:pPr>
        <w:spacing w:after="80" w:before="80"/>
      </w:pPr>
      <w:r>
        <w:rPr>
          <w:rFonts w:ascii="Arial" w:cs="Arial" w:eastAsia="Arial" w:hAnsi="Arial"/>
          <w:color w:val="555555"/>
          <w:sz w:val="20"/>
          <w:szCs w:val="20"/>
        </w:rPr>
        <w:t xml:space="preserve">Google has introduced A2UI (Agent-to-UI) — an open protocol that allows ADK agents to return structured JSON describing UI components (buttons, cards, forms, pickers) instead of plain text. Gemini Enterprise natively renders these components inside the chat surface.</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shd w:fill="0091DA" w:val="clear"/>
            <w:tcMar>
              <w:top w:type="dxa" w:w="140"/>
              <w:left w:type="dxa" w:w="200"/>
              <w:bottom w:type="dxa" w:w="140"/>
              <w:right w:type="dxa" w:w="200"/>
            </w:tcMar>
          </w:tcPr>
          <w:p>
            <w:r>
              <w:rPr>
                <w:rFonts w:ascii="Arial" w:cs="Arial" w:eastAsia="Arial" w:hAnsi="Arial"/>
                <w:i/>
                <w:iCs/>
                <w:color w:val="FFFFFF"/>
                <w:sz w:val="20"/>
                <w:szCs w:val="20"/>
              </w:rPr>
              <w:t xml:space="preserve">A2UI is Google's equivalent of Microsoft Adaptive Cards — but purpose-built for Gemini Enterprise. It is already supported in Gemini Enterprise (v0.8 as of May 2026) with no additional licensing required.</w:t>
            </w:r>
          </w:p>
        </w:tc>
      </w:tr>
    </w:tbl>
    <w:p>
      <w:r>
        <w:rPr>
          <w:sz w:val="20"/>
          <w:szCs w:val="20"/>
        </w:rPr>
        <w:t xml:space="preserve"/>
      </w:r>
    </w:p>
    <w:p>
      <w:pPr>
        <w:spacing w:after="100" w:before="280"/>
      </w:pPr>
      <w:r>
        <w:rPr>
          <w:rFonts w:ascii="Arial" w:cs="Arial" w:eastAsia="Arial" w:hAnsi="Arial"/>
          <w:b/>
          <w:bCs/>
          <w:color w:val="00338D"/>
          <w:sz w:val="24"/>
          <w:szCs w:val="24"/>
        </w:rPr>
        <w:t xml:space="preserve">What A2UI Enables</w:t>
      </w:r>
    </w:p>
    <w:p>
      <w:pPr>
        <w:pStyle w:val="ListParagraph"/>
        <w:numPr>
          <w:ilvl w:val="0"/>
          <w:numId w:val="2"/>
        </w:numPr>
        <w:spacing w:after="60" w:before="60"/>
      </w:pPr>
      <w:r>
        <w:rPr>
          <w:rFonts w:ascii="Arial" w:cs="Arial" w:eastAsia="Arial" w:hAnsi="Arial"/>
          <w:b w:val="false"/>
          <w:bCs w:val="false"/>
          <w:color w:val="555555"/>
          <w:sz w:val="20"/>
          <w:szCs w:val="20"/>
        </w:rPr>
        <w:t xml:space="preserve">Clickable follow-up question buttons rendered natively after each agent response</w:t>
      </w:r>
    </w:p>
    <w:p>
      <w:pPr>
        <w:pStyle w:val="ListParagraph"/>
        <w:numPr>
          <w:ilvl w:val="0"/>
          <w:numId w:val="2"/>
        </w:numPr>
        <w:spacing w:after="60" w:before="60"/>
      </w:pPr>
      <w:r>
        <w:rPr>
          <w:rFonts w:ascii="Arial" w:cs="Arial" w:eastAsia="Arial" w:hAnsi="Arial"/>
          <w:b w:val="false"/>
          <w:bCs w:val="false"/>
          <w:color w:val="555555"/>
          <w:sz w:val="20"/>
          <w:szCs w:val="20"/>
        </w:rPr>
        <w:t xml:space="preserve">Multi-select choice pickers (e.g. select a report type, a risk domain)</w:t>
      </w:r>
    </w:p>
    <w:p>
      <w:pPr>
        <w:pStyle w:val="ListParagraph"/>
        <w:numPr>
          <w:ilvl w:val="0"/>
          <w:numId w:val="2"/>
        </w:numPr>
        <w:spacing w:after="60" w:before="60"/>
      </w:pPr>
      <w:r>
        <w:rPr>
          <w:rFonts w:ascii="Arial" w:cs="Arial" w:eastAsia="Arial" w:hAnsi="Arial"/>
          <w:b w:val="false"/>
          <w:bCs w:val="false"/>
          <w:color w:val="555555"/>
          <w:sz w:val="20"/>
          <w:szCs w:val="20"/>
        </w:rPr>
        <w:t xml:space="preserve">Structured forms with date pickers, dropdowns, and text fields — all within chat</w:t>
      </w:r>
    </w:p>
    <w:p>
      <w:pPr>
        <w:pStyle w:val="ListParagraph"/>
        <w:numPr>
          <w:ilvl w:val="0"/>
          <w:numId w:val="2"/>
        </w:numPr>
        <w:spacing w:after="60" w:before="60"/>
      </w:pPr>
      <w:r>
        <w:rPr>
          <w:rFonts w:ascii="Arial" w:cs="Arial" w:eastAsia="Arial" w:hAnsi="Arial"/>
          <w:b w:val="false"/>
          <w:bCs w:val="false"/>
          <w:color w:val="555555"/>
          <w:sz w:val="20"/>
          <w:szCs w:val="20"/>
        </w:rPr>
        <w:t xml:space="preserve">Interactive data cards and visualisations</w:t>
      </w:r>
    </w:p>
    <w:p>
      <w:r>
        <w:rPr>
          <w:sz w:val="20"/>
          <w:szCs w:val="20"/>
        </w:rPr>
        <w:t xml:space="preserve"/>
      </w:r>
    </w:p>
    <w:p>
      <w:pPr>
        <w:spacing w:after="100" w:before="280"/>
      </w:pPr>
      <w:r>
        <w:rPr>
          <w:rFonts w:ascii="Arial" w:cs="Arial" w:eastAsia="Arial" w:hAnsi="Arial"/>
          <w:b/>
          <w:bCs/>
          <w:color w:val="00338D"/>
          <w:sz w:val="24"/>
          <w:szCs w:val="24"/>
        </w:rPr>
        <w:t xml:space="preserve">Why It Is Safe</w:t>
      </w:r>
    </w:p>
    <w:p>
      <w:pPr>
        <w:spacing w:after="80" w:before="80"/>
      </w:pPr>
      <w:r>
        <w:rPr>
          <w:rFonts w:ascii="Arial" w:cs="Arial" w:eastAsia="Arial" w:hAnsi="Arial"/>
          <w:color w:val="555555"/>
          <w:sz w:val="20"/>
          <w:szCs w:val="20"/>
        </w:rPr>
        <w:t xml:space="preserve">A2UI is declarative, not executable. The payload is pure JSON describing a component tree. The Gemini Enterprise client only renders pre-approved components from a trusted catalog — no arbitrary HTML or JavaScript is transmitted, eliminating XSS and UI injection risks.</w:t>
      </w:r>
    </w:p>
    <w:p>
      <w:r>
        <w:rPr>
          <w:sz w:val="20"/>
          <w:szCs w:val="20"/>
        </w:rPr>
        <w:t xml:space="preserve"/>
      </w:r>
    </w:p>
    <w:p>
      <w:pPr>
        <w:pBdr>
          <w:bottom w:val="single" w:color="005EB8" w:sz="8" w:space="6"/>
        </w:pBdr>
        <w:spacing w:after="160" w:before="400"/>
      </w:pPr>
      <w:r>
        <w:rPr>
          <w:rFonts w:ascii="Arial" w:cs="Arial" w:eastAsia="Arial" w:hAnsi="Arial"/>
          <w:b/>
          <w:bCs/>
          <w:color w:val="005EB8"/>
          <w:sz w:val="28"/>
          <w:szCs w:val="28"/>
        </w:rPr>
        <w:t xml:space="preserve">3. How A2UI Works in Practice</w:t>
      </w:r>
    </w:p>
    <w:p>
      <w:pPr>
        <w:spacing w:after="80" w:before="80"/>
      </w:pPr>
      <w:r>
        <w:rPr>
          <w:rFonts w:ascii="Arial" w:cs="Arial" w:eastAsia="Arial" w:hAnsi="Arial"/>
          <w:color w:val="555555"/>
          <w:sz w:val="20"/>
          <w:szCs w:val="20"/>
        </w:rPr>
        <w:t xml:space="preserve">Instead of returning a markdown string with follow-up text, the agent returns an A2UI JSON payload alongside (or instead of) the text response. The payload is transported as a DataPart object with the MIME type:</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91DA" w:sz="2"/>
              <w:left w:val="single" w:color="0091DA" w:sz="8"/>
              <w:bottom w:val="single" w:color="0091DA" w:sz="2"/>
              <w:right w:val="single" w:color="0091DA" w:sz="2"/>
            </w:tcBorders>
            <w:shd w:fill="F0F4FA" w:val="clear"/>
            <w:tcMar>
              <w:top w:type="dxa" w:w="120"/>
              <w:left w:type="dxa" w:w="180"/>
              <w:bottom w:type="dxa" w:w="120"/>
              <w:right w:type="dxa" w:w="180"/>
            </w:tcMar>
          </w:tcPr>
          <w:p>
            <w:pPr>
              <w:spacing w:after="40" w:before="40"/>
            </w:pPr>
            <w:r>
              <w:rPr>
                <w:rFonts w:ascii="Courier New" w:cs="Courier New" w:eastAsia="Courier New" w:hAnsi="Courier New"/>
                <w:color w:val="333333"/>
                <w:sz w:val="16"/>
                <w:szCs w:val="16"/>
              </w:rPr>
              <w:t xml:space="preserve">application/json+a2ui</w:t>
            </w:r>
          </w:p>
        </w:tc>
      </w:tr>
    </w:tbl>
    <w:p>
      <w:r>
        <w:rPr>
          <w:sz w:val="20"/>
          <w:szCs w:val="20"/>
        </w:rPr>
        <w:t xml:space="preserve"/>
      </w:r>
    </w:p>
    <w:p>
      <w:pPr>
        <w:spacing w:after="80" w:before="80"/>
      </w:pPr>
      <w:r>
        <w:rPr>
          <w:rFonts w:ascii="Arial" w:cs="Arial" w:eastAsia="Arial" w:hAnsi="Arial"/>
          <w:color w:val="555555"/>
          <w:sz w:val="20"/>
          <w:szCs w:val="20"/>
        </w:rPr>
        <w:t xml:space="preserve">This rides inside the existing A2A JSON-RPC transport — no new infrastructure is needed. Gemini Enterprise reads the payload and renders the described components natively.</w:t>
      </w:r>
    </w:p>
    <w:p>
      <w:r>
        <w:rPr>
          <w:sz w:val="20"/>
          <w:szCs w:val="20"/>
        </w:rPr>
        <w:t xml:space="preserve"/>
      </w:r>
    </w:p>
    <w:p>
      <w:pPr>
        <w:spacing w:after="100" w:before="280"/>
      </w:pPr>
      <w:r>
        <w:rPr>
          <w:rFonts w:ascii="Arial" w:cs="Arial" w:eastAsia="Arial" w:hAnsi="Arial"/>
          <w:b/>
          <w:bCs/>
          <w:color w:val="00338D"/>
          <w:sz w:val="24"/>
          <w:szCs w:val="24"/>
        </w:rPr>
        <w:t xml:space="preserve">Example: Follow-up Buttons Payload</w:t>
      </w:r>
    </w:p>
    <w:p>
      <w:pPr>
        <w:spacing w:after="80" w:before="80"/>
      </w:pPr>
      <w:r>
        <w:rPr>
          <w:rFonts w:ascii="Arial" w:cs="Arial" w:eastAsia="Arial" w:hAnsi="Arial"/>
          <w:color w:val="555555"/>
          <w:sz w:val="20"/>
          <w:szCs w:val="20"/>
        </w:rPr>
        <w:t xml:space="preserve">The snippet below shows the A2UI JSON the agent would emit after completing a response. Each Button's action value is automatically injected into the chat as the user's next message when clicked.</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91DA" w:sz="2"/>
              <w:left w:val="single" w:color="0091DA" w:sz="8"/>
              <w:bottom w:val="single" w:color="0091DA" w:sz="2"/>
              <w:right w:val="single" w:color="0091DA" w:sz="2"/>
            </w:tcBorders>
            <w:shd w:fill="F0F4FA" w:val="clear"/>
            <w:tcMar>
              <w:top w:type="dxa" w:w="120"/>
              <w:left w:type="dxa" w:w="180"/>
              <w:bottom w:type="dxa" w:w="120"/>
              <w:right w:type="dxa" w:w="180"/>
            </w:tcMar>
          </w:tcPr>
          <w:p>
            <w:pPr>
              <w:spacing w:after="40" w:before="40"/>
            </w:pPr>
            <w:r>
              <w:rPr>
                <w:rFonts w:ascii="Courier New" w:cs="Courier New" w:eastAsia="Courier New" w:hAnsi="Courier New"/>
                <w:color w:val="333333"/>
                <w:sz w:val="16"/>
                <w:szCs w:val="16"/>
              </w:rPr>
              <w:t xml:space="preserve">{</w:t>
            </w:r>
          </w:p>
          <w:p>
            <w:pPr>
              <w:spacing w:after="40" w:before="40"/>
            </w:pPr>
            <w:r>
              <w:rPr>
                <w:rFonts w:ascii="Courier New" w:cs="Courier New" w:eastAsia="Courier New" w:hAnsi="Courier New"/>
                <w:color w:val="333333"/>
                <w:sz w:val="16"/>
                <w:szCs w:val="16"/>
              </w:rPr>
              <w:t xml:space="preserve">  "type": "Card",</w:t>
            </w:r>
          </w:p>
          <w:p>
            <w:pPr>
              <w:spacing w:after="40" w:before="40"/>
            </w:pPr>
            <w:r>
              <w:rPr>
                <w:rFonts w:ascii="Courier New" w:cs="Courier New" w:eastAsia="Courier New" w:hAnsi="Courier New"/>
                <w:color w:val="333333"/>
                <w:sz w:val="16"/>
                <w:szCs w:val="16"/>
              </w:rPr>
              <w:t xml:space="preserve">  "children": [</w:t>
            </w:r>
          </w:p>
          <w:p>
            <w:pPr>
              <w:spacing w:after="40" w:before="40"/>
            </w:pPr>
            <w:r>
              <w:rPr>
                <w:rFonts w:ascii="Courier New" w:cs="Courier New" w:eastAsia="Courier New" w:hAnsi="Courier New"/>
                <w:color w:val="333333"/>
                <w:sz w:val="16"/>
                <w:szCs w:val="16"/>
              </w:rPr>
              <w:t xml:space="preserve">    {</w:t>
            </w:r>
          </w:p>
          <w:p>
            <w:pPr>
              <w:spacing w:after="40" w:before="40"/>
            </w:pPr>
            <w:r>
              <w:rPr>
                <w:rFonts w:ascii="Courier New" w:cs="Courier New" w:eastAsia="Courier New" w:hAnsi="Courier New"/>
                <w:color w:val="333333"/>
                <w:sz w:val="16"/>
                <w:szCs w:val="16"/>
              </w:rPr>
              <w:t xml:space="preserve">      "type": "Text",</w:t>
            </w:r>
          </w:p>
          <w:p>
            <w:pPr>
              <w:spacing w:after="40" w:before="40"/>
            </w:pPr>
            <w:r>
              <w:rPr>
                <w:rFonts w:ascii="Courier New" w:cs="Courier New" w:eastAsia="Courier New" w:hAnsi="Courier New"/>
                <w:color w:val="333333"/>
                <w:sz w:val="16"/>
                <w:szCs w:val="16"/>
              </w:rPr>
              <w:t xml:space="preserve">      "value": "What would you like to explore next?"</w:t>
            </w:r>
          </w:p>
          <w:p>
            <w:pPr>
              <w:spacing w:after="40" w:before="40"/>
            </w:pPr>
            <w:r>
              <w:rPr>
                <w:rFonts w:ascii="Courier New" w:cs="Courier New" w:eastAsia="Courier New" w:hAnsi="Courier New"/>
                <w:color w:val="333333"/>
                <w:sz w:val="16"/>
                <w:szCs w:val="16"/>
              </w:rPr>
              <w:t xml:space="preserve">    },</w:t>
            </w:r>
          </w:p>
          <w:p>
            <w:pPr>
              <w:spacing w:after="40" w:before="40"/>
            </w:pPr>
            <w:r>
              <w:rPr>
                <w:rFonts w:ascii="Courier New" w:cs="Courier New" w:eastAsia="Courier New" w:hAnsi="Courier New"/>
                <w:color w:val="333333"/>
                <w:sz w:val="16"/>
                <w:szCs w:val="16"/>
              </w:rPr>
              <w:t xml:space="preserve">    {</w:t>
            </w:r>
          </w:p>
          <w:p>
            <w:pPr>
              <w:spacing w:after="40" w:before="40"/>
            </w:pPr>
            <w:r>
              <w:rPr>
                <w:rFonts w:ascii="Courier New" w:cs="Courier New" w:eastAsia="Courier New" w:hAnsi="Courier New"/>
                <w:color w:val="333333"/>
                <w:sz w:val="16"/>
                <w:szCs w:val="16"/>
              </w:rPr>
              <w:t xml:space="preserve">      "type": "Button",</w:t>
            </w:r>
          </w:p>
          <w:p>
            <w:pPr>
              <w:spacing w:after="40" w:before="40"/>
            </w:pPr>
            <w:r>
              <w:rPr>
                <w:rFonts w:ascii="Courier New" w:cs="Courier New" w:eastAsia="Courier New" w:hAnsi="Courier New"/>
                <w:color w:val="333333"/>
                <w:sz w:val="16"/>
                <w:szCs w:val="16"/>
              </w:rPr>
              <w:t xml:space="preserve">      "label": "Show risk breakdown",</w:t>
            </w:r>
          </w:p>
          <w:p>
            <w:pPr>
              <w:spacing w:after="40" w:before="40"/>
            </w:pPr>
            <w:r>
              <w:rPr>
                <w:rFonts w:ascii="Courier New" w:cs="Courier New" w:eastAsia="Courier New" w:hAnsi="Courier New"/>
                <w:color w:val="333333"/>
                <w:sz w:val="16"/>
                <w:szCs w:val="16"/>
              </w:rPr>
              <w:t xml:space="preserve">      "action": "Show me the detailed risk breakdown"</w:t>
            </w:r>
          </w:p>
          <w:p>
            <w:pPr>
              <w:spacing w:after="40" w:before="40"/>
            </w:pPr>
            <w:r>
              <w:rPr>
                <w:rFonts w:ascii="Courier New" w:cs="Courier New" w:eastAsia="Courier New" w:hAnsi="Courier New"/>
                <w:color w:val="333333"/>
                <w:sz w:val="16"/>
                <w:szCs w:val="16"/>
              </w:rPr>
              <w:t xml:space="preserve">    },</w:t>
            </w:r>
          </w:p>
          <w:p>
            <w:pPr>
              <w:spacing w:after="40" w:before="40"/>
            </w:pPr>
            <w:r>
              <w:rPr>
                <w:rFonts w:ascii="Courier New" w:cs="Courier New" w:eastAsia="Courier New" w:hAnsi="Courier New"/>
                <w:color w:val="333333"/>
                <w:sz w:val="16"/>
                <w:szCs w:val="16"/>
              </w:rPr>
              <w:t xml:space="preserve">    {</w:t>
            </w:r>
          </w:p>
          <w:p>
            <w:pPr>
              <w:spacing w:after="40" w:before="40"/>
            </w:pPr>
            <w:r>
              <w:rPr>
                <w:rFonts w:ascii="Courier New" w:cs="Courier New" w:eastAsia="Courier New" w:hAnsi="Courier New"/>
                <w:color w:val="333333"/>
                <w:sz w:val="16"/>
                <w:szCs w:val="16"/>
              </w:rPr>
              <w:t xml:space="preserve">      "type": "Button",</w:t>
            </w:r>
          </w:p>
          <w:p>
            <w:pPr>
              <w:spacing w:after="40" w:before="40"/>
            </w:pPr>
            <w:r>
              <w:rPr>
                <w:rFonts w:ascii="Courier New" w:cs="Courier New" w:eastAsia="Courier New" w:hAnsi="Courier New"/>
                <w:color w:val="333333"/>
                <w:sz w:val="16"/>
                <w:szCs w:val="16"/>
              </w:rPr>
              <w:t xml:space="preserve">      "label": "Generate summary report",</w:t>
            </w:r>
          </w:p>
          <w:p>
            <w:pPr>
              <w:spacing w:after="40" w:before="40"/>
            </w:pPr>
            <w:r>
              <w:rPr>
                <w:rFonts w:ascii="Courier New" w:cs="Courier New" w:eastAsia="Courier New" w:hAnsi="Courier New"/>
                <w:color w:val="333333"/>
                <w:sz w:val="16"/>
                <w:szCs w:val="16"/>
              </w:rPr>
              <w:t xml:space="preserve">      "action": "Generate a summary report for this session"</w:t>
            </w:r>
          </w:p>
          <w:p>
            <w:pPr>
              <w:spacing w:after="40" w:before="40"/>
            </w:pPr>
            <w:r>
              <w:rPr>
                <w:rFonts w:ascii="Courier New" w:cs="Courier New" w:eastAsia="Courier New" w:hAnsi="Courier New"/>
                <w:color w:val="333333"/>
                <w:sz w:val="16"/>
                <w:szCs w:val="16"/>
              </w:rPr>
              <w:t xml:space="preserve">    },</w:t>
            </w:r>
          </w:p>
          <w:p>
            <w:pPr>
              <w:spacing w:after="40" w:before="40"/>
            </w:pPr>
            <w:r>
              <w:rPr>
                <w:rFonts w:ascii="Courier New" w:cs="Courier New" w:eastAsia="Courier New" w:hAnsi="Courier New"/>
                <w:color w:val="333333"/>
                <w:sz w:val="16"/>
                <w:szCs w:val="16"/>
              </w:rPr>
              <w:t xml:space="preserve">    {</w:t>
            </w:r>
          </w:p>
          <w:p>
            <w:pPr>
              <w:spacing w:after="40" w:before="40"/>
            </w:pPr>
            <w:r>
              <w:rPr>
                <w:rFonts w:ascii="Courier New" w:cs="Courier New" w:eastAsia="Courier New" w:hAnsi="Courier New"/>
                <w:color w:val="333333"/>
                <w:sz w:val="16"/>
                <w:szCs w:val="16"/>
              </w:rPr>
              <w:t xml:space="preserve">      "type": "Button",</w:t>
            </w:r>
          </w:p>
          <w:p>
            <w:pPr>
              <w:spacing w:after="40" w:before="40"/>
            </w:pPr>
            <w:r>
              <w:rPr>
                <w:rFonts w:ascii="Courier New" w:cs="Courier New" w:eastAsia="Courier New" w:hAnsi="Courier New"/>
                <w:color w:val="333333"/>
                <w:sz w:val="16"/>
                <w:szCs w:val="16"/>
              </w:rPr>
              <w:t xml:space="preserve">      "label": "Drill into top findings",</w:t>
            </w:r>
          </w:p>
          <w:p>
            <w:pPr>
              <w:spacing w:after="40" w:before="40"/>
            </w:pPr>
            <w:r>
              <w:rPr>
                <w:rFonts w:ascii="Courier New" w:cs="Courier New" w:eastAsia="Courier New" w:hAnsi="Courier New"/>
                <w:color w:val="333333"/>
                <w:sz w:val="16"/>
                <w:szCs w:val="16"/>
              </w:rPr>
              <w:t xml:space="preserve">      "action": "What are the top 3 findings I should focus on?"</w:t>
            </w:r>
          </w:p>
          <w:p>
            <w:pPr>
              <w:spacing w:after="40" w:before="40"/>
            </w:pPr>
            <w:r>
              <w:rPr>
                <w:rFonts w:ascii="Courier New" w:cs="Courier New" w:eastAsia="Courier New" w:hAnsi="Courier New"/>
                <w:color w:val="333333"/>
                <w:sz w:val="16"/>
                <w:szCs w:val="16"/>
              </w:rPr>
              <w:t xml:space="preserve">    }</w:t>
            </w:r>
          </w:p>
          <w:p>
            <w:pPr>
              <w:spacing w:after="40" w:before="40"/>
            </w:pPr>
            <w:r>
              <w:rPr>
                <w:rFonts w:ascii="Courier New" w:cs="Courier New" w:eastAsia="Courier New" w:hAnsi="Courier New"/>
                <w:color w:val="333333"/>
                <w:sz w:val="16"/>
                <w:szCs w:val="16"/>
              </w:rPr>
              <w:t xml:space="preserve">  ]</w:t>
            </w:r>
          </w:p>
          <w:p>
            <w:pPr>
              <w:spacing w:after="40" w:before="40"/>
            </w:pPr>
            <w:r>
              <w:rPr>
                <w:rFonts w:ascii="Courier New" w:cs="Courier New" w:eastAsia="Courier New" w:hAnsi="Courier New"/>
                <w:color w:val="333333"/>
                <w:sz w:val="16"/>
                <w:szCs w:val="16"/>
              </w:rPr>
              <w:t xml:space="preserve">}</w:t>
            </w:r>
          </w:p>
        </w:tc>
      </w:tr>
    </w:tbl>
    <w:p>
      <w:r>
        <w:rPr>
          <w:sz w:val="20"/>
          <w:szCs w:val="20"/>
        </w:rPr>
        <w:t xml:space="preserve"/>
      </w:r>
    </w:p>
    <w:p>
      <w:pPr>
        <w:pBdr>
          <w:bottom w:val="single" w:color="005EB8" w:sz="8" w:space="6"/>
        </w:pBdr>
        <w:spacing w:after="160" w:before="400"/>
      </w:pPr>
      <w:r>
        <w:rPr>
          <w:rFonts w:ascii="Arial" w:cs="Arial" w:eastAsia="Arial" w:hAnsi="Arial"/>
          <w:b/>
          <w:bCs/>
          <w:color w:val="005EB8"/>
          <w:sz w:val="28"/>
          <w:szCs w:val="28"/>
        </w:rPr>
        <w:t xml:space="preserve">4. Implementation Steps for the Development Team</w:t>
      </w:r>
    </w:p>
    <w:p>
      <w:pPr>
        <w:spacing w:after="100" w:before="280"/>
      </w:pPr>
      <w:r>
        <w:rPr>
          <w:rFonts w:ascii="Arial" w:cs="Arial" w:eastAsia="Arial" w:hAnsi="Arial"/>
          <w:b/>
          <w:bCs/>
          <w:color w:val="00338D"/>
          <w:sz w:val="24"/>
          <w:szCs w:val="24"/>
        </w:rPr>
        <w:t xml:space="preserve">Step 1 — Review the Reference Implementation</w:t>
      </w:r>
    </w:p>
    <w:p>
      <w:pPr>
        <w:spacing w:after="80" w:before="80"/>
      </w:pPr>
      <w:r>
        <w:rPr>
          <w:rFonts w:ascii="Arial" w:cs="Arial" w:eastAsia="Arial" w:hAnsi="Arial"/>
          <w:color w:val="555555"/>
          <w:sz w:val="20"/>
          <w:szCs w:val="20"/>
        </w:rPr>
        <w:t xml:space="preserve">Google has published a full working example (restaurant-finder agent) with source code on GitHub and a 2-minute demo video demonstrating the end-to-end flow in Gemini Enterprise.</w:t>
      </w:r>
    </w:p>
    <w:p>
      <w:pPr>
        <w:pStyle w:val="ListParagraph"/>
        <w:numPr>
          <w:ilvl w:val="0"/>
          <w:numId w:val="2"/>
        </w:numPr>
        <w:spacing w:after="60" w:before="60"/>
      </w:pPr>
      <w:r>
        <w:rPr>
          <w:rFonts w:ascii="Arial" w:cs="Arial" w:eastAsia="Arial" w:hAnsi="Arial"/>
          <w:b w:val="false"/>
          <w:bCs w:val="false"/>
          <w:color w:val="555555"/>
          <w:sz w:val="20"/>
          <w:szCs w:val="20"/>
        </w:rPr>
        <w:t xml:space="preserve">GitHub repo: github.com/wadave/agent-a2ui-demo</w:t>
      </w:r>
    </w:p>
    <w:p>
      <w:pPr>
        <w:pStyle w:val="ListParagraph"/>
        <w:numPr>
          <w:ilvl w:val="0"/>
          <w:numId w:val="2"/>
        </w:numPr>
        <w:spacing w:after="60" w:before="60"/>
      </w:pPr>
      <w:r>
        <w:rPr>
          <w:rFonts w:ascii="Arial" w:cs="Arial" w:eastAsia="Arial" w:hAnsi="Arial"/>
          <w:b w:val="false"/>
          <w:bCs w:val="false"/>
          <w:color w:val="555555"/>
          <w:sz w:val="20"/>
          <w:szCs w:val="20"/>
        </w:rPr>
        <w:t xml:space="preserve">Reference blog: cloud.google.com/blog/topics/developers-practitioners/guide-to-gemini-enterprise-and-a2ui-integration</w:t>
      </w:r>
    </w:p>
    <w:p>
      <w:pPr>
        <w:pStyle w:val="ListParagraph"/>
        <w:numPr>
          <w:ilvl w:val="0"/>
          <w:numId w:val="2"/>
        </w:numPr>
        <w:spacing w:after="60" w:before="60"/>
      </w:pPr>
      <w:r>
        <w:rPr>
          <w:rFonts w:ascii="Arial" w:cs="Arial" w:eastAsia="Arial" w:hAnsi="Arial"/>
          <w:b w:val="false"/>
          <w:bCs w:val="false"/>
          <w:color w:val="555555"/>
          <w:sz w:val="20"/>
          <w:szCs w:val="20"/>
        </w:rPr>
        <w:t xml:space="preserve">A2UI spec: a2ui.org</w:t>
      </w:r>
    </w:p>
    <w:p>
      <w:r>
        <w:rPr>
          <w:sz w:val="20"/>
          <w:szCs w:val="20"/>
        </w:rPr>
        <w:t xml:space="preserve"/>
      </w:r>
    </w:p>
    <w:p>
      <w:pPr>
        <w:spacing w:after="100" w:before="280"/>
      </w:pPr>
      <w:r>
        <w:rPr>
          <w:rFonts w:ascii="Arial" w:cs="Arial" w:eastAsia="Arial" w:hAnsi="Arial"/>
          <w:b/>
          <w:bCs/>
          <w:color w:val="00338D"/>
          <w:sz w:val="24"/>
          <w:szCs w:val="24"/>
        </w:rPr>
        <w:t xml:space="preserve">Step 2 — Update the ADK Agent Response Logic</w:t>
      </w:r>
    </w:p>
    <w:p>
      <w:pPr>
        <w:spacing w:after="80" w:before="80"/>
      </w:pPr>
      <w:r>
        <w:rPr>
          <w:rFonts w:ascii="Arial" w:cs="Arial" w:eastAsia="Arial" w:hAnsi="Arial"/>
          <w:color w:val="555555"/>
          <w:sz w:val="20"/>
          <w:szCs w:val="20"/>
        </w:rPr>
        <w:t xml:space="preserve">Modify the agent's response handler to emit an A2UI payload after each substantive response. The follow-up questions currently in the system prompt should be converted into Button components with appropriate action strings.</w:t>
      </w:r>
    </w:p>
    <w:p>
      <w:pPr>
        <w:pStyle w:val="ListParagraph"/>
        <w:numPr>
          <w:ilvl w:val="0"/>
          <w:numId w:val="2"/>
        </w:numPr>
        <w:spacing w:after="60" w:before="60"/>
      </w:pPr>
      <w:r>
        <w:rPr>
          <w:rFonts w:ascii="Arial" w:cs="Arial" w:eastAsia="Arial" w:hAnsi="Arial"/>
          <w:b w:val="false"/>
          <w:bCs w:val="false"/>
          <w:color w:val="555555"/>
          <w:sz w:val="20"/>
          <w:szCs w:val="20"/>
        </w:rPr>
        <w:t xml:space="preserve">Keep the existing system prompt and text response intact</w:t>
      </w:r>
    </w:p>
    <w:p>
      <w:pPr>
        <w:pStyle w:val="ListParagraph"/>
        <w:numPr>
          <w:ilvl w:val="0"/>
          <w:numId w:val="2"/>
        </w:numPr>
        <w:spacing w:after="60" w:before="60"/>
      </w:pPr>
      <w:r>
        <w:rPr>
          <w:rFonts w:ascii="Arial" w:cs="Arial" w:eastAsia="Arial" w:hAnsi="Arial"/>
          <w:b w:val="false"/>
          <w:bCs w:val="false"/>
          <w:color w:val="555555"/>
          <w:sz w:val="20"/>
          <w:szCs w:val="20"/>
        </w:rPr>
        <w:t xml:space="preserve">Append the A2UI DataPart as a second part in the A2A response message</w:t>
      </w:r>
    </w:p>
    <w:p>
      <w:pPr>
        <w:pStyle w:val="ListParagraph"/>
        <w:numPr>
          <w:ilvl w:val="0"/>
          <w:numId w:val="2"/>
        </w:numPr>
        <w:spacing w:after="60" w:before="60"/>
      </w:pPr>
      <w:r>
        <w:rPr>
          <w:rFonts w:ascii="Arial" w:cs="Arial" w:eastAsia="Arial" w:hAnsi="Arial"/>
          <w:b w:val="false"/>
          <w:bCs w:val="false"/>
          <w:color w:val="555555"/>
          <w:sz w:val="20"/>
          <w:szCs w:val="20"/>
        </w:rPr>
        <w:t xml:space="preserve">Use the Button component type for follow-up questions (one button per question)</w:t>
      </w:r>
    </w:p>
    <w:p>
      <w:pPr>
        <w:pStyle w:val="ListParagraph"/>
        <w:numPr>
          <w:ilvl w:val="0"/>
          <w:numId w:val="2"/>
        </w:numPr>
        <w:spacing w:after="60" w:before="60"/>
      </w:pPr>
      <w:r>
        <w:rPr>
          <w:rFonts w:ascii="Arial" w:cs="Arial" w:eastAsia="Arial" w:hAnsi="Arial"/>
          <w:b w:val="false"/>
          <w:bCs w:val="false"/>
          <w:color w:val="555555"/>
          <w:sz w:val="20"/>
          <w:szCs w:val="20"/>
        </w:rPr>
        <w:t xml:space="preserve">The action field must be the exact text that should be sent as the next user message</w:t>
      </w:r>
    </w:p>
    <w:p>
      <w:r>
        <w:rPr>
          <w:sz w:val="20"/>
          <w:szCs w:val="20"/>
        </w:rPr>
        <w:t xml:space="preserve"/>
      </w:r>
    </w:p>
    <w:p>
      <w:pPr>
        <w:spacing w:after="100" w:before="280"/>
      </w:pPr>
      <w:r>
        <w:rPr>
          <w:rFonts w:ascii="Arial" w:cs="Arial" w:eastAsia="Arial" w:hAnsi="Arial"/>
          <w:b/>
          <w:bCs/>
          <w:color w:val="00338D"/>
          <w:sz w:val="24"/>
          <w:szCs w:val="24"/>
        </w:rPr>
        <w:t xml:space="preserve">Step 3 — Re-register the Agent in Gemini Enterprise</w:t>
      </w:r>
    </w:p>
    <w:p>
      <w:pPr>
        <w:spacing w:after="80" w:before="80"/>
      </w:pPr>
      <w:r>
        <w:rPr>
          <w:rFonts w:ascii="Arial" w:cs="Arial" w:eastAsia="Arial" w:hAnsi="Arial"/>
          <w:color w:val="555555"/>
          <w:sz w:val="20"/>
          <w:szCs w:val="20"/>
        </w:rPr>
        <w:t xml:space="preserve">After updating the agent logic and redeploying to Agent Engine, re-register or refresh the agent entry in the Gemini Enterprise console. No changes to the registration parameters are needed — GE automatically detects and renders A2UI payloads from registered agents.</w:t>
      </w:r>
    </w:p>
    <w:p>
      <w:r>
        <w:rPr>
          <w:sz w:val="20"/>
          <w:szCs w:val="20"/>
        </w:rPr>
        <w:t xml:space="preserve"/>
      </w:r>
    </w:p>
    <w:p>
      <w:pPr>
        <w:spacing w:after="100" w:before="280"/>
      </w:pPr>
      <w:r>
        <w:rPr>
          <w:rFonts w:ascii="Arial" w:cs="Arial" w:eastAsia="Arial" w:hAnsi="Arial"/>
          <w:b/>
          <w:bCs/>
          <w:color w:val="00338D"/>
          <w:sz w:val="24"/>
          <w:szCs w:val="24"/>
        </w:rPr>
        <w:t xml:space="preserve">Step 4 — Test in Gemini Enterprise Chat</w:t>
      </w:r>
    </w:p>
    <w:p>
      <w:pPr>
        <w:spacing w:after="80" w:before="80"/>
      </w:pPr>
      <w:r>
        <w:rPr>
          <w:rFonts w:ascii="Arial" w:cs="Arial" w:eastAsia="Arial" w:hAnsi="Arial"/>
          <w:color w:val="555555"/>
          <w:sz w:val="20"/>
          <w:szCs w:val="20"/>
        </w:rPr>
        <w:t xml:space="preserve">Use the GE chat preview to verify that follow-up buttons appear after agent responses and that clicking them correctly fires the action string as a new user message. Validate across desktop and the Gemini Enterprise mobile app.</w:t>
      </w:r>
    </w:p>
    <w:p>
      <w:r>
        <w:rPr>
          <w:sz w:val="20"/>
          <w:szCs w:val="20"/>
        </w:rPr>
        <w:t xml:space="preserve"/>
      </w:r>
    </w:p>
    <w:p>
      <w:pPr>
        <w:pBdr>
          <w:bottom w:val="single" w:color="005EB8" w:sz="8" w:space="6"/>
        </w:pBdr>
        <w:spacing w:after="160" w:before="400"/>
      </w:pPr>
      <w:r>
        <w:rPr>
          <w:rFonts w:ascii="Arial" w:cs="Arial" w:eastAsia="Arial" w:hAnsi="Arial"/>
          <w:b/>
          <w:bCs/>
          <w:color w:val="005EB8"/>
          <w:sz w:val="28"/>
          <w:szCs w:val="28"/>
        </w:rPr>
        <w:t xml:space="preserve">5. Options Comparison</w:t>
      </w:r>
    </w:p>
    <w:p>
      <w:pPr>
        <w:spacing w:after="80" w:before="80"/>
      </w:pPr>
      <w:r>
        <w:rPr>
          <w:rFonts w:ascii="Arial" w:cs="Arial" w:eastAsia="Arial" w:hAnsi="Arial"/>
          <w:color w:val="555555"/>
          <w:sz w:val="20"/>
          <w:szCs w:val="20"/>
        </w:rPr>
        <w:t xml:space="preserve">The table below summarises all available approaches for follow-up UX, evaluated against clickability and development effort.</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E0E0E0" w:sz="1"/>
              <w:left w:val="single" w:color="E0E0E0" w:sz="1"/>
              <w:bottom w:val="single" w:color="E0E0E0" w:sz="1"/>
              <w:right w:val="single" w:color="E0E0E0" w:sz="1"/>
            </w:tcBorders>
            <w:shd w:fill="00338D" w:val="clear"/>
            <w:tcMar>
              <w:top w:type="dxa" w:w="100"/>
              <w:left w:type="dxa" w:w="150"/>
              <w:bottom w:type="dxa" w:w="100"/>
              <w:right w:type="dxa" w:w="150"/>
            </w:tcMar>
          </w:tcPr>
          <w:p>
            <w:r>
              <w:rPr>
                <w:rFonts w:ascii="Arial" w:cs="Arial" w:eastAsia="Arial" w:hAnsi="Arial"/>
                <w:b/>
                <w:bCs/>
                <w:color w:val="FFFFFF"/>
                <w:sz w:val="20"/>
                <w:szCs w:val="20"/>
              </w:rPr>
              <w:t xml:space="preserve">Approach</w:t>
            </w:r>
          </w:p>
        </w:tc>
        <w:tc>
          <w:tcPr>
            <w:tcW w:type="dxa" w:w="2800"/>
            <w:tcBorders>
              <w:top w:val="single" w:color="E0E0E0" w:sz="1"/>
              <w:left w:val="single" w:color="E0E0E0" w:sz="1"/>
              <w:bottom w:val="single" w:color="E0E0E0" w:sz="1"/>
              <w:right w:val="single" w:color="E0E0E0" w:sz="1"/>
            </w:tcBorders>
            <w:shd w:fill="00338D" w:val="clear"/>
            <w:tcMar>
              <w:top w:type="dxa" w:w="100"/>
              <w:left w:type="dxa" w:w="150"/>
              <w:bottom w:type="dxa" w:w="100"/>
              <w:right w:type="dxa" w:w="150"/>
            </w:tcMar>
          </w:tcPr>
          <w:p>
            <w:r>
              <w:rPr>
                <w:rFonts w:ascii="Arial" w:cs="Arial" w:eastAsia="Arial" w:hAnsi="Arial"/>
                <w:b/>
                <w:bCs/>
                <w:color w:val="FFFFFF"/>
                <w:sz w:val="20"/>
                <w:szCs w:val="20"/>
              </w:rPr>
              <w:t xml:space="preserve">Clickable?</w:t>
            </w:r>
          </w:p>
        </w:tc>
        <w:tc>
          <w:tcPr>
            <w:tcW w:type="dxa" w:w="3426"/>
            <w:tcBorders>
              <w:top w:val="single" w:color="E0E0E0" w:sz="1"/>
              <w:left w:val="single" w:color="E0E0E0" w:sz="1"/>
              <w:bottom w:val="single" w:color="E0E0E0" w:sz="1"/>
              <w:right w:val="single" w:color="E0E0E0" w:sz="1"/>
            </w:tcBorders>
            <w:shd w:fill="00338D" w:val="clear"/>
            <w:tcMar>
              <w:top w:type="dxa" w:w="100"/>
              <w:left w:type="dxa" w:w="150"/>
              <w:bottom w:type="dxa" w:w="100"/>
              <w:right w:type="dxa" w:w="150"/>
            </w:tcMar>
          </w:tcPr>
          <w:p>
            <w:r>
              <w:rPr>
                <w:rFonts w:ascii="Arial" w:cs="Arial" w:eastAsia="Arial" w:hAnsi="Arial"/>
                <w:b/>
                <w:bCs/>
                <w:color w:val="FFFFFF"/>
                <w:sz w:val="20"/>
                <w:szCs w:val="20"/>
              </w:rPr>
              <w:t xml:space="preserve">Effort for Developer</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A2UI Buttons (recommended)</w:t>
            </w:r>
          </w:p>
        </w:tc>
        <w:tc>
          <w:tcPr>
            <w:tcW w:type="dxa" w:w="2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 Fully clickable, native</w:t>
            </w:r>
          </w:p>
        </w:tc>
        <w:tc>
          <w:tcPr>
            <w:tcW w:type="dxa" w:w="3426"/>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Medium — agent code change + redeploy</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Starter Prompts (Discovery Engine API)</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 Clickable at conversation start only</w:t>
            </w:r>
          </w:p>
        </w:tc>
        <w:tc>
          <w:tcPr>
            <w:tcW w:type="dxa" w:w="34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Low — API config change only</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Prompt Chips (GE Console)</w:t>
            </w:r>
          </w:p>
        </w:tc>
        <w:tc>
          <w:tcPr>
            <w:tcW w:type="dxa" w:w="2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 Clickable, app-wide static</w:t>
            </w:r>
          </w:p>
        </w:tc>
        <w:tc>
          <w:tcPr>
            <w:tcW w:type="dxa" w:w="3426"/>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Low — console configuration only</w:t>
            </w:r>
          </w:p>
        </w:tc>
      </w:tr>
      <w:tr>
        <w:tc>
          <w:tcPr>
            <w:tcW w:type="dxa" w:w="2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Formatted text (copy/paste workaround)</w:t>
            </w:r>
          </w:p>
        </w:tc>
        <w:tc>
          <w:tcPr>
            <w:tcW w:type="dxa" w:w="28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Partial — copy only</w:t>
            </w:r>
          </w:p>
        </w:tc>
        <w:tc>
          <w:tcPr>
            <w:tcW w:type="dxa" w:w="3426"/>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Minimal — prompt change only</w:t>
            </w:r>
          </w:p>
        </w:tc>
      </w:tr>
      <w:tr>
        <w:tc>
          <w:tcPr>
            <w:tcW w:type="dxa" w:w="2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Custom frontend (React/HTML)</w:t>
            </w:r>
          </w:p>
        </w:tc>
        <w:tc>
          <w:tcPr>
            <w:tcW w:type="dxa" w:w="28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 Full control</w:t>
            </w:r>
          </w:p>
        </w:tc>
        <w:tc>
          <w:tcPr>
            <w:tcW w:type="dxa" w:w="3426"/>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High — new frontend required</w:t>
            </w:r>
          </w:p>
        </w:tc>
      </w:tr>
    </w:tbl>
    <w:p>
      <w:r>
        <w:rPr>
          <w:sz w:val="20"/>
          <w:szCs w:val="20"/>
        </w:rPr>
        <w:t xml:space="preserve"/>
      </w:r>
    </w:p>
    <w:p>
      <w:pPr>
        <w:spacing w:after="80" w:before="80"/>
      </w:pPr>
      <w:r>
        <w:rPr>
          <w:rFonts w:ascii="Arial" w:cs="Arial" w:eastAsia="Arial" w:hAnsi="Arial"/>
          <w:b w:val="false"/>
          <w:bCs w:val="false"/>
          <w:color w:val="555555"/>
          <w:sz w:val="20"/>
          <w:szCs w:val="20"/>
        </w:rPr>
        <w:t xml:space="preserve">Recommendation: Implement A2UI for in-conversation follow-up buttons. Combine with Starter Prompts for the opening turn of each conversation. This delivers the best user experience within the standard Gemini Enterprise chat surface with no custom frontend required.</w:t>
      </w:r>
    </w:p>
    <w:p>
      <w:r>
        <w:rPr>
          <w:sz w:val="20"/>
          <w:szCs w:val="20"/>
        </w:rPr>
        <w:t xml:space="preserve"/>
      </w:r>
    </w:p>
    <w:p>
      <w:pPr>
        <w:pBdr>
          <w:bottom w:val="single" w:color="005EB8" w:sz="8" w:space="6"/>
        </w:pBdr>
        <w:spacing w:after="160" w:before="400"/>
      </w:pPr>
      <w:r>
        <w:rPr>
          <w:rFonts w:ascii="Arial" w:cs="Arial" w:eastAsia="Arial" w:hAnsi="Arial"/>
          <w:b/>
          <w:bCs/>
          <w:color w:val="005EB8"/>
          <w:sz w:val="28"/>
          <w:szCs w:val="28"/>
        </w:rPr>
        <w:t xml:space="preserve">6. Stack Clarification</w:t>
      </w:r>
    </w:p>
    <w:p>
      <w:pPr>
        <w:spacing w:after="80" w:before="80"/>
      </w:pPr>
      <w:r>
        <w:rPr>
          <w:rFonts w:ascii="Arial" w:cs="Arial" w:eastAsia="Arial" w:hAnsi="Arial"/>
          <w:color w:val="555555"/>
          <w:sz w:val="20"/>
          <w:szCs w:val="20"/>
        </w:rPr>
        <w:t xml:space="preserve">The diagram below shows the two layers the development team controls vs. the two layers Gemini Enterprise handles:</w:t>
      </w:r>
    </w:p>
    <w:p>
      <w:r>
        <w:rPr>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213"/>
        <w:gridCol w:w="2813"/>
      </w:tblGrid>
      <w:tr>
        <w:trPr>
          <w:tblHeader/>
        </w:trPr>
        <w:tc>
          <w:tcPr>
            <w:tcW w:type="dxa" w:w="3000"/>
            <w:tcBorders>
              <w:top w:val="single" w:color="E0E0E0" w:sz="1"/>
              <w:left w:val="single" w:color="E0E0E0" w:sz="1"/>
              <w:bottom w:val="single" w:color="E0E0E0" w:sz="1"/>
              <w:right w:val="single" w:color="E0E0E0" w:sz="1"/>
            </w:tcBorders>
            <w:shd w:fill="00338D" w:val="clear"/>
            <w:tcMar>
              <w:top w:type="dxa" w:w="100"/>
              <w:left w:type="dxa" w:w="150"/>
              <w:bottom w:type="dxa" w:w="100"/>
              <w:right w:type="dxa" w:w="150"/>
            </w:tcMar>
          </w:tcPr>
          <w:p>
            <w:r>
              <w:rPr>
                <w:rFonts w:ascii="Arial" w:cs="Arial" w:eastAsia="Arial" w:hAnsi="Arial"/>
                <w:b/>
                <w:bCs/>
                <w:color w:val="FFFFFF"/>
                <w:sz w:val="20"/>
                <w:szCs w:val="20"/>
              </w:rPr>
              <w:t xml:space="preserve">Layer</w:t>
            </w:r>
          </w:p>
        </w:tc>
        <w:tc>
          <w:tcPr>
            <w:tcW w:type="dxa" w:w="3213"/>
            <w:tcBorders>
              <w:top w:val="single" w:color="E0E0E0" w:sz="1"/>
              <w:left w:val="single" w:color="E0E0E0" w:sz="1"/>
              <w:bottom w:val="single" w:color="E0E0E0" w:sz="1"/>
              <w:right w:val="single" w:color="E0E0E0" w:sz="1"/>
            </w:tcBorders>
            <w:shd w:fill="00338D" w:val="clear"/>
            <w:tcMar>
              <w:top w:type="dxa" w:w="100"/>
              <w:left w:type="dxa" w:w="150"/>
              <w:bottom w:type="dxa" w:w="100"/>
              <w:right w:type="dxa" w:w="150"/>
            </w:tcMar>
          </w:tcPr>
          <w:p>
            <w:r>
              <w:rPr>
                <w:rFonts w:ascii="Arial" w:cs="Arial" w:eastAsia="Arial" w:hAnsi="Arial"/>
                <w:b/>
                <w:bCs/>
                <w:color w:val="FFFFFF"/>
                <w:sz w:val="20"/>
                <w:szCs w:val="20"/>
              </w:rPr>
              <w:t xml:space="preserve">Owner</w:t>
            </w:r>
          </w:p>
        </w:tc>
        <w:tc>
          <w:tcPr>
            <w:tcW w:type="dxa" w:w="2813"/>
            <w:tcBorders>
              <w:top w:val="single" w:color="E0E0E0" w:sz="1"/>
              <w:left w:val="single" w:color="E0E0E0" w:sz="1"/>
              <w:bottom w:val="single" w:color="E0E0E0" w:sz="1"/>
              <w:right w:val="single" w:color="E0E0E0" w:sz="1"/>
            </w:tcBorders>
            <w:shd w:fill="00338D" w:val="clear"/>
            <w:tcMar>
              <w:top w:type="dxa" w:w="100"/>
              <w:left w:type="dxa" w:w="150"/>
              <w:bottom w:type="dxa" w:w="100"/>
              <w:right w:type="dxa" w:w="150"/>
            </w:tcMar>
          </w:tcPr>
          <w:p>
            <w:r>
              <w:rPr>
                <w:rFonts w:ascii="Arial" w:cs="Arial" w:eastAsia="Arial" w:hAnsi="Arial"/>
                <w:b/>
                <w:bCs/>
                <w:color w:val="FFFFFF"/>
                <w:sz w:val="20"/>
                <w:szCs w:val="20"/>
              </w:rPr>
              <w:t xml:space="preserve">Our Responsibility</w:t>
            </w:r>
          </w:p>
        </w:tc>
      </w:tr>
      <w:tr>
        <w:tc>
          <w:tcPr>
            <w:tcW w:type="dxa" w:w="3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App experience (chat shell)</w:t>
            </w:r>
          </w:p>
        </w:tc>
        <w:tc>
          <w:tcPr>
            <w:tcW w:type="dxa" w:w="3213"/>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Gemini Enterprise</w:t>
            </w:r>
          </w:p>
        </w:tc>
        <w:tc>
          <w:tcPr>
            <w:tcW w:type="dxa" w:w="2813"/>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None</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Pixel rendering (component drawing)</w:t>
            </w:r>
          </w:p>
        </w:tc>
        <w:tc>
          <w:tcPr>
            <w:tcW w:type="dxa" w:w="3213"/>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Gemini Enterprise</w:t>
            </w:r>
          </w:p>
        </w:tc>
        <w:tc>
          <w:tcPr>
            <w:tcW w:type="dxa" w:w="2813"/>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None</w:t>
            </w:r>
          </w:p>
        </w:tc>
      </w:tr>
      <w:tr>
        <w:tc>
          <w:tcPr>
            <w:tcW w:type="dxa" w:w="3000"/>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Conversation transport (A2A)</w:t>
            </w:r>
          </w:p>
        </w:tc>
        <w:tc>
          <w:tcPr>
            <w:tcW w:type="dxa" w:w="3213"/>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Shared</w:t>
            </w:r>
          </w:p>
        </w:tc>
        <w:tc>
          <w:tcPr>
            <w:tcW w:type="dxa" w:w="2813"/>
            <w:tcBorders>
              <w:top w:val="single" w:color="E0E0E0" w:sz="1"/>
              <w:left w:val="single" w:color="E0E0E0" w:sz="1"/>
              <w:bottom w:val="single" w:color="E0E0E0" w:sz="1"/>
              <w:right w:val="single" w:color="E0E0E0" w:sz="1"/>
            </w:tcBorders>
            <w:shd w:fill="F5F5F5" w:val="clear"/>
            <w:tcMar>
              <w:top w:type="dxa" w:w="100"/>
              <w:left w:type="dxa" w:w="150"/>
              <w:bottom w:type="dxa" w:w="100"/>
              <w:right w:type="dxa" w:w="150"/>
            </w:tcMar>
          </w:tcPr>
          <w:p>
            <w:r>
              <w:rPr>
                <w:rFonts w:ascii="Arial" w:cs="Arial" w:eastAsia="Arial" w:hAnsi="Arial"/>
                <w:color w:val="555555"/>
                <w:sz w:val="20"/>
                <w:szCs w:val="20"/>
              </w:rPr>
              <w:t xml:space="preserve">Ensure A2UI rides as DataPart</w:t>
            </w:r>
          </w:p>
        </w:tc>
      </w:tr>
      <w:tr>
        <w:tc>
          <w:tcPr>
            <w:tcW w:type="dxa" w:w="3000"/>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Agent logic + A2UI payload</w:t>
            </w:r>
          </w:p>
        </w:tc>
        <w:tc>
          <w:tcPr>
            <w:tcW w:type="dxa" w:w="3213"/>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Our ADK Agent</w:t>
            </w:r>
          </w:p>
        </w:tc>
        <w:tc>
          <w:tcPr>
            <w:tcW w:type="dxa" w:w="2813"/>
            <w:tcBorders>
              <w:top w:val="single" w:color="E0E0E0" w:sz="1"/>
              <w:left w:val="single" w:color="E0E0E0" w:sz="1"/>
              <w:bottom w:val="single" w:color="E0E0E0" w:sz="1"/>
              <w:right w:val="single" w:color="E0E0E0" w:sz="1"/>
            </w:tcBorders>
            <w:shd w:fill="FFFFFF" w:val="clear"/>
            <w:tcMar>
              <w:top w:type="dxa" w:w="100"/>
              <w:left w:type="dxa" w:w="150"/>
              <w:bottom w:type="dxa" w:w="100"/>
              <w:right w:type="dxa" w:w="150"/>
            </w:tcMar>
          </w:tcPr>
          <w:p>
            <w:r>
              <w:rPr>
                <w:rFonts w:ascii="Arial" w:cs="Arial" w:eastAsia="Arial" w:hAnsi="Arial"/>
                <w:color w:val="555555"/>
                <w:sz w:val="20"/>
                <w:szCs w:val="20"/>
              </w:rPr>
              <w:t xml:space="preserve">Emit correct A2UI JSON</w:t>
            </w:r>
          </w:p>
        </w:tc>
      </w:tr>
    </w:tbl>
    <w:p>
      <w:r>
        <w:rPr>
          <w:sz w:val="20"/>
          <w:szCs w:val="20"/>
        </w:rPr>
        <w:t xml:space="preserve"/>
      </w:r>
    </w:p>
    <w:p>
      <w:pPr>
        <w:pBdr>
          <w:bottom w:val="single" w:color="005EB8" w:sz="8" w:space="6"/>
        </w:pBdr>
        <w:spacing w:after="160" w:before="400"/>
      </w:pPr>
      <w:r>
        <w:rPr>
          <w:rFonts w:ascii="Arial" w:cs="Arial" w:eastAsia="Arial" w:hAnsi="Arial"/>
          <w:b/>
          <w:bCs/>
          <w:color w:val="005EB8"/>
          <w:sz w:val="28"/>
          <w:szCs w:val="28"/>
        </w:rPr>
        <w:t xml:space="preserve">7. Suggested Next Steps</w:t>
      </w:r>
    </w:p>
    <w:p>
      <w:pPr>
        <w:pStyle w:val="ListParagraph"/>
        <w:numPr>
          <w:ilvl w:val="0"/>
          <w:numId w:val="2"/>
        </w:numPr>
        <w:spacing w:after="60" w:before="60"/>
      </w:pPr>
      <w:r>
        <w:rPr>
          <w:rFonts w:ascii="Arial" w:cs="Arial" w:eastAsia="Arial" w:hAnsi="Arial"/>
          <w:b/>
          <w:bCs/>
          <w:color w:val="555555"/>
          <w:sz w:val="20"/>
          <w:szCs w:val="20"/>
        </w:rPr>
        <w:t xml:space="preserve">Developer reviews the A2UI reference implementation (Step 1 above)</w:t>
      </w:r>
    </w:p>
    <w:p>
      <w:pPr>
        <w:pStyle w:val="ListParagraph"/>
        <w:numPr>
          <w:ilvl w:val="0"/>
          <w:numId w:val="2"/>
        </w:numPr>
        <w:spacing w:after="60" w:before="60"/>
      </w:pPr>
      <w:r>
        <w:rPr>
          <w:rFonts w:ascii="Arial" w:cs="Arial" w:eastAsia="Arial" w:hAnsi="Arial"/>
          <w:b w:val="false"/>
          <w:bCs w:val="false"/>
          <w:color w:val="555555"/>
          <w:sz w:val="20"/>
          <w:szCs w:val="20"/>
        </w:rPr>
        <w:t xml:space="preserve">Identify the follow-up questions in the current agent system prompt that should become buttons</w:t>
      </w:r>
    </w:p>
    <w:p>
      <w:pPr>
        <w:pStyle w:val="ListParagraph"/>
        <w:numPr>
          <w:ilvl w:val="0"/>
          <w:numId w:val="2"/>
        </w:numPr>
        <w:spacing w:after="60" w:before="60"/>
      </w:pPr>
      <w:r>
        <w:rPr>
          <w:rFonts w:ascii="Arial" w:cs="Arial" w:eastAsia="Arial" w:hAnsi="Arial"/>
          <w:b w:val="false"/>
          <w:bCs w:val="false"/>
          <w:color w:val="555555"/>
          <w:sz w:val="20"/>
          <w:szCs w:val="20"/>
        </w:rPr>
        <w:t xml:space="preserve">Implement A2UI DataPart emission in the ADK agent response handler</w:t>
      </w:r>
    </w:p>
    <w:p>
      <w:pPr>
        <w:pStyle w:val="ListParagraph"/>
        <w:numPr>
          <w:ilvl w:val="0"/>
          <w:numId w:val="2"/>
        </w:numPr>
        <w:spacing w:after="60" w:before="60"/>
      </w:pPr>
      <w:r>
        <w:rPr>
          <w:rFonts w:ascii="Arial" w:cs="Arial" w:eastAsia="Arial" w:hAnsi="Arial"/>
          <w:b w:val="false"/>
          <w:bCs w:val="false"/>
          <w:color w:val="555555"/>
          <w:sz w:val="20"/>
          <w:szCs w:val="20"/>
        </w:rPr>
        <w:t xml:space="preserve">Redeploy to Agent Engine and re-register in Gemini Enterprise</w:t>
      </w:r>
    </w:p>
    <w:p>
      <w:pPr>
        <w:pStyle w:val="ListParagraph"/>
        <w:numPr>
          <w:ilvl w:val="0"/>
          <w:numId w:val="2"/>
        </w:numPr>
        <w:spacing w:after="60" w:before="60"/>
      </w:pPr>
      <w:r>
        <w:rPr>
          <w:rFonts w:ascii="Arial" w:cs="Arial" w:eastAsia="Arial" w:hAnsi="Arial"/>
          <w:b w:val="false"/>
          <w:bCs w:val="false"/>
          <w:color w:val="555555"/>
          <w:sz w:val="20"/>
          <w:szCs w:val="20"/>
        </w:rPr>
        <w:t xml:space="preserve">Run UAT in the GE chat preview and confirm button behaviour</w:t>
      </w:r>
    </w:p>
    <w:p>
      <w:pPr>
        <w:pStyle w:val="ListParagraph"/>
        <w:numPr>
          <w:ilvl w:val="0"/>
          <w:numId w:val="2"/>
        </w:numPr>
        <w:spacing w:after="60" w:before="60"/>
      </w:pPr>
      <w:r>
        <w:rPr>
          <w:rFonts w:ascii="Arial" w:cs="Arial" w:eastAsia="Arial" w:hAnsi="Arial"/>
          <w:b w:val="false"/>
          <w:bCs w:val="false"/>
          <w:color w:val="555555"/>
          <w:sz w:val="20"/>
          <w:szCs w:val="20"/>
        </w:rPr>
        <w:t xml:space="preserve">Consider combining with Starter Prompts via Discovery Engine API for the opening turn</w:t>
      </w:r>
    </w:p>
    <w:p>
      <w:r>
        <w:rPr>
          <w:sz w:val="20"/>
          <w:szCs w:val="20"/>
        </w:rPr>
        <w:t xml:space="preserve"/>
      </w:r>
    </w:p>
    <w:p>
      <w:r>
        <w:rPr>
          <w:sz w:val="20"/>
          <w:szCs w:val="20"/>
        </w:rPr>
        <w:t xml:space="preserve"/>
      </w:r>
    </w:p>
    <w:p>
      <w:pPr>
        <w:pBdr>
          <w:top w:val="single" w:color="005EB8" w:sz="4" w:space="4"/>
        </w:pBdr>
        <w:spacing w:after="80" w:before="160"/>
      </w:pPr>
      <w:r>
        <w:rPr>
          <w:rFonts w:ascii="Arial" w:cs="Arial" w:eastAsia="Arial" w:hAnsi="Arial"/>
          <w:color w:val="555555"/>
          <w:sz w:val="16"/>
          <w:szCs w:val="16"/>
        </w:rPr>
        <w:t xml:space="preserve">Prepared by KPMG Technology Advisory  |  June 2026  |  For internal distribution only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8D" w:sz="4" w:space="4"/>
      </w:pBdr>
      <w:tabs>
        <w:tab w:val="right" w:pos="9026"/>
      </w:tabs>
      <w:spacing w:after="0" w:before="80"/>
    </w:pPr>
    <w:r>
      <w:rPr>
        <w:rFonts w:ascii="Arial" w:cs="Arial" w:eastAsia="Arial" w:hAnsi="Arial"/>
        <w:color w:val="555555"/>
        <w:sz w:val="16"/>
        <w:szCs w:val="16"/>
      </w:rPr>
      <w:t xml:space="preserve">© 2026 KPMG International Cooperative. All rights reserved. Document Classification: KPMG Confidential</w:t>
    </w:r>
    <w:r>
      <w:rPr>
        <w:rFonts w:ascii="Arial" w:cs="Arial" w:eastAsia="Arial" w:hAnsi="Arial"/>
        <w:sz w:val="16"/>
        <w:szCs w:val="16"/>
      </w:rPr>
      <w:t xml:space="preserve">	</w:t>
    </w:r>
    <w:r>
      <w:rPr>
        <w:rFonts w:ascii="Arial" w:cs="Arial" w:eastAsia="Arial" w:hAnsi="Arial"/>
        <w:color w:val="0033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8D" w:sz="6" w:space="6"/>
      </w:pBdr>
      <w:spacing w:after="120" w:before="0"/>
    </w:pPr>
    <w:r>
      <w:drawing>
        <wp:inline distT="0" distB="0" distL="0" distR="0">
          <wp:extent cx="666750" cy="26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66750" cy="2667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338D"/>
      <w:sz w:val="40"/>
      <w:szCs w:val="40"/>
    </w:rPr>
  </w:style>
  <w:style w:type="paragraph" w:styleId="Heading2">
    <w:name w:val="Heading 2"/>
    <w:basedOn w:val="Normal"/>
    <w:next w:val="Normal"/>
    <w:qFormat/>
    <w:pPr>
      <w:spacing w:after="120" w:before="240"/>
      <w:outlineLvl w:val="1"/>
    </w:pPr>
    <w:rPr>
      <w:rFonts w:ascii="Arial" w:cs="Arial" w:eastAsia="Arial" w:hAnsi="Arial"/>
      <w:b/>
      <w:bCs/>
      <w:color w:val="005EB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abc17f45ac8dae8508e5462efc0795a16b08ad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2026-06-08T17:31:33.813Z</dcterms:created>
  <dcterms:modified xsi:type="dcterms:W3CDTF">2026-06-08T17:31:33.813Z</dcterms:modified>
</cp:coreProperties>
</file>

<file path=docProps/custom.xml><?xml version="1.0" encoding="utf-8"?>
<Properties xmlns="http://schemas.openxmlformats.org/officeDocument/2006/custom-properties" xmlns:vt="http://schemas.openxmlformats.org/officeDocument/2006/docPropsVTypes"/>
</file>