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Construction</w:t>
      </w:r>
    </w:p>
    <w:p/>
    <w:p>
      <w:pPr>
        <w:pStyle w:val="Heading1"/>
      </w:pPr>
      <w:r>
        <w:t xml:space="preserve">1. Overview</w:t>
      </w:r>
    </w:p>
    <w:p/>
    <w:p>
      <w:r>
        <w:t xml:space="preserve">Construction Holdings is seeking proposals from qualified vendors for a data warehouse modernization initiative. The organization is a multi-site organization operating in the construction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clearer operating model with stronger governance</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Implementation and configuration</w:t>
      </w:r>
    </w:p>
    <w:p>
      <w:r>
        <w:t xml:space="preserve">- Managed services and post-launch support</w:t>
      </w:r>
    </w:p>
    <w:p>
      <w:r>
        <w:t xml:space="preserve">- Solution design and architecture</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construction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717,473 to 867,859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Commercial competitiveness</w:t>
      </w:r>
    </w:p>
    <w:p>
      <w:r>
        <w:t xml:space="preserve">- Industry experience</w:t>
      </w:r>
    </w:p>
    <w:p>
      <w:r>
        <w:t xml:space="preserve">- Functional fit</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