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Agriculture</w:t>
      </w:r>
    </w:p>
    <w:p/>
    <w:p>
      <w:pPr>
        <w:pStyle w:val="Heading1"/>
      </w:pPr>
      <w:r>
        <w:t xml:space="preserve">1. Overview</w:t>
      </w:r>
    </w:p>
    <w:p/>
    <w:p>
      <w:r>
        <w:t xml:space="preserve">Agriculture Holdings is seeking proposals from qualified vendors for a procurement outsourcing initiative. The organization is a regional operator operating in the agriculture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faster delivery and improved stakeholder visibility</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Discovery and current-state assessment</w:t>
      </w:r>
    </w:p>
    <w:p>
      <w:r>
        <w:t xml:space="preserve">- Solution design and architecture</w:t>
      </w:r>
    </w:p>
    <w:p>
      <w:r>
        <w:t xml:space="preserve">- Implementation and configuration</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agriculture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857,082 to 1,076,950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Referenceability and customer outcomes</w:t>
      </w:r>
    </w:p>
    <w:p>
      <w:r>
        <w:t xml:space="preserve">- Implementation methodology</w:t>
      </w:r>
    </w:p>
    <w:p>
      <w:r>
        <w:t xml:space="preserve">- Industry experience</w:t>
      </w:r>
    </w:p>
    <w:p>
      <w:r>
        <w:t xml:space="preserve">- Functional fit</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