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Real Estate</w:t>
      </w:r>
    </w:p>
    <w:p/>
    <w:p>
      <w:pPr>
        <w:pStyle w:val="Heading1"/>
      </w:pPr>
      <w:r>
        <w:t xml:space="preserve">1. Overview</w:t>
      </w:r>
    </w:p>
    <w:p/>
    <w:p>
      <w:r>
        <w:t xml:space="preserve">Real Estate Holdings is seeking proposals from qualified vendors for a digital workplace services initiative. The organization is a public-sector agency operating in the real estate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clearer operating model with stronger governance</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Testing and cutover support</w:t>
      </w:r>
    </w:p>
    <w:p>
      <w:r>
        <w:t xml:space="preserve">- Solution design and architecture</w:t>
      </w:r>
    </w:p>
    <w:p>
      <w:r>
        <w:t xml:space="preserve">- Implementation and configuration</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real estate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1,224,481 to 1,841,488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Functional fit</w:t>
      </w:r>
    </w:p>
    <w:p>
      <w:r>
        <w:t xml:space="preserve">- Implementation methodology</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