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Healthcare</w:t>
      </w:r>
    </w:p>
    <w:p/>
    <w:p>
      <w:pPr>
        <w:pStyle w:val="Heading1"/>
      </w:pPr>
      <w:r>
        <w:t xml:space="preserve">1. Overview</w:t>
      </w:r>
    </w:p>
    <w:p/>
    <w:p>
      <w:r>
        <w:t xml:space="preserve">Healthcare Holdings is seeking proposals from qualified vendors for a enterprise software platform initiative. The organization is a regulated institution operating in the healthcare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Implementation and configuration</w:t>
      </w:r>
    </w:p>
    <w:p>
      <w:r>
        <w:t xml:space="preserve">- Testing and cutover support</w:t>
      </w:r>
    </w:p>
    <w:p>
      <w:r>
        <w:t xml:space="preserve">- Training, adoption, and change management</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healthcare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1,737,310 to 2,397,536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Implementation methodology</w:t>
      </w:r>
    </w:p>
    <w:p>
      <w:r>
        <w:t xml:space="preserve">- Industry experience</w:t>
      </w:r>
    </w:p>
    <w:p>
      <w:r>
        <w:t xml:space="preserve">- Referenceability and customer outcomes</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