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Energy</w:t>
      </w:r>
    </w:p>
    <w:p/>
    <w:p>
      <w:pPr>
        <w:pStyle w:val="Heading1"/>
      </w:pPr>
      <w:r>
        <w:t xml:space="preserve">1. Overview</w:t>
      </w:r>
    </w:p>
    <w:p/>
    <w:p>
      <w:r>
        <w:t xml:space="preserve">Energy Holdings is seeking proposals from qualified vendors for a erp implementation initiative. The organization is a public-sector agency operating in the energy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reduced manual effort across core workflows</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Implementation and configuration</w:t>
      </w:r>
    </w:p>
    <w:p>
      <w:r>
        <w:t xml:space="preserve">- Data migration and validation</w:t>
      </w:r>
    </w:p>
    <w:p>
      <w:r>
        <w:t xml:space="preserve">- Managed services and post-launch support</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energy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321,669 to 431,961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Industry experience</w:t>
      </w:r>
    </w:p>
    <w:p>
      <w:r>
        <w:t xml:space="preserve">- Referenceability and customer outcomes</w:t>
      </w:r>
    </w:p>
    <w:p>
      <w:r>
        <w:t xml:space="preserve">- Team quality and governance model</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