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Transportation</w:t>
      </w:r>
    </w:p>
    <w:p/>
    <w:p>
      <w:pPr>
        <w:pStyle w:val="Heading1"/>
      </w:pPr>
      <w:r>
        <w:t xml:space="preserve">1. Overview</w:t>
      </w:r>
    </w:p>
    <w:p/>
    <w:p>
      <w:r>
        <w:t xml:space="preserve">Transportation Holdings is seeking proposals from qualified vendors for a digital workplace services initiative. The organization is a regulated institution operating in the transportation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clearer operating model with stronger governance</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Implementation and configuration</w:t>
      </w:r>
    </w:p>
    <w:p>
      <w:r>
        <w:t xml:space="preserve">- Data migration and validation</w:t>
      </w:r>
    </w:p>
    <w:p>
      <w:r>
        <w:t xml:space="preserve">- Solution design and architecture</w:t>
      </w:r>
    </w:p>
    <w:p>
      <w:r>
        <w:t xml:space="preserve">- Testing and cutover support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transportation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1,274,226 to 2,016,277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Security and compliance posture</w:t>
      </w:r>
    </w:p>
    <w:p>
      <w:r>
        <w:t xml:space="preserve">- Referenceability and customer outcomes</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