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Construction</w:t>
      </w:r>
    </w:p>
    <w:p/>
    <w:p>
      <w:pPr>
        <w:pStyle w:val="Heading1"/>
      </w:pPr>
      <w:r>
        <w:t xml:space="preserve">1. Overview</w:t>
      </w:r>
    </w:p>
    <w:p/>
    <w:p>
      <w:r>
        <w:t xml:space="preserve">Construction Holdings is seeking proposals from qualified vendors for a data warehouse modernization initiative. The organization is a public-sector agency operating in the construction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measurable improvement in service quality</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Solution design and architecture</w:t>
      </w:r>
    </w:p>
    <w:p>
      <w:r>
        <w:t xml:space="preserve">- Managed services and post-launch support</w:t>
      </w:r>
    </w:p>
    <w:p>
      <w:r>
        <w:t xml:space="preserve">- Testing and cutover support</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vendor must identify risks, mitigation strategies, and a realistic transition plan.</w:t>
      </w:r>
    </w:p>
    <w:p/>
    <w:p>
      <w:r>
        <w:t xml:space="preserve">Bidders should provide a phased implementation plan with clear owner responsibilities and acceptance criteria.</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construction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1,248,887 to 1,472,943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Implementation methodology</w:t>
      </w:r>
    </w:p>
    <w:p>
      <w:r>
        <w:t xml:space="preserve">- Team quality and governance model</w:t>
      </w:r>
    </w:p>
    <w:p>
      <w:r>
        <w:t xml:space="preserve">- Security and compliance posture</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