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Logistics</w:t>
      </w:r>
    </w:p>
    <w:p/>
    <w:p>
      <w:pPr>
        <w:pStyle w:val="Heading1"/>
      </w:pPr>
      <w:r>
        <w:t xml:space="preserve">1. Overview</w:t>
      </w:r>
    </w:p>
    <w:p/>
    <w:p>
      <w:r>
        <w:t xml:space="preserve">Logistics Holdings is seeking proposals from qualified vendors for a erp implementation initiative. The organization is a public-sector agency operating in the logistics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faster delivery and improved stakeholder visibility</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Implementation and configuration</w:t>
      </w:r>
    </w:p>
    <w:p>
      <w:r>
        <w:t xml:space="preserve">- Training, adoption, and change management</w:t>
      </w:r>
    </w:p>
    <w:p>
      <w:r>
        <w:t xml:space="preserve">- Testing and cutover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logistics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951,864 to 1,395,760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Functional fit</w:t>
      </w:r>
    </w:p>
    <w:p>
      <w:r>
        <w:t xml:space="preserve">- Commercial competitiveness</w:t>
      </w:r>
    </w:p>
    <w:p>
      <w:r>
        <w:t xml:space="preserve">- Implementation methodology</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