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Utilities</w:t>
      </w:r>
    </w:p>
    <w:p/>
    <w:p>
      <w:pPr>
        <w:pStyle w:val="Heading1"/>
      </w:pPr>
      <w:r>
        <w:t xml:space="preserve">1. Overview</w:t>
      </w:r>
    </w:p>
    <w:p/>
    <w:p>
      <w:r>
        <w:t xml:space="preserve">Utilities Holdings is seeking proposals from qualified vendors for a application support services initiative. The organization is a fast-growing business operating in the utilities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reduced manual effort across core workflows</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Implementation and configuration</w:t>
      </w:r>
    </w:p>
    <w:p>
      <w:r>
        <w:t xml:space="preserve">- Reporting, analytics, and governance</w:t>
      </w:r>
    </w:p>
    <w:p>
      <w:r>
        <w:t xml:space="preserve">- Testing and cutover support</w:t>
      </w:r>
    </w:p>
    <w:p>
      <w:r>
        <w:t xml:space="preserve">- Discovery and current-state assessment</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utilities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1,547,296 to 2,456,976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Implementation methodology</w:t>
      </w:r>
    </w:p>
    <w:p>
      <w:r>
        <w:t xml:space="preserve">- Team quality and governance model</w:t>
      </w:r>
    </w:p>
    <w:p>
      <w:r>
        <w:t xml:space="preserve">- Security and compliance posture</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