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Healthcare</w:t>
      </w:r>
    </w:p>
    <w:p/>
    <w:p>
      <w:pPr>
        <w:pStyle w:val="Heading1"/>
      </w:pPr>
      <w:r>
        <w:t xml:space="preserve">1. Overview</w:t>
      </w:r>
    </w:p>
    <w:p/>
    <w:p>
      <w:r>
        <w:t xml:space="preserve">Healthcare Holdings is seeking proposals from qualified vendors for a enterprise software platform initiative. The organization is a public-sector agency operating in the healthcare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Managed services and post-launch support</w:t>
      </w:r>
    </w:p>
    <w:p>
      <w:r>
        <w:t xml:space="preserve">- Discovery and current-state assessment</w:t>
      </w:r>
    </w:p>
    <w:p>
      <w:r>
        <w:t xml:space="preserve">- Reporting, analytics, and governance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healthcare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1,691,224 to 2,364,448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Commercial competitiveness</w:t>
      </w:r>
    </w:p>
    <w:p>
      <w:r>
        <w:t xml:space="preserve">- Team quality and governance model</w:t>
      </w:r>
    </w:p>
    <w:p>
      <w:r>
        <w:t xml:space="preserve">- Functional fit</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