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Financial Services</w:t>
      </w:r>
    </w:p>
    <w:p/>
    <w:p>
      <w:pPr>
        <w:pStyle w:val="Heading1"/>
      </w:pPr>
      <w:r>
        <w:t xml:space="preserve">1. Overview</w:t>
      </w:r>
    </w:p>
    <w:p/>
    <w:p>
      <w:r>
        <w:t xml:space="preserve">Financial Services Holdings is seeking proposals from qualified vendors for a cloud migration services initiative. The organization is a regional operator operating in the financial services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reduced manual effort across core workflows</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Solution design and architecture</w:t>
      </w:r>
    </w:p>
    <w:p>
      <w:r>
        <w:t xml:space="preserve">- Data migration and validation</w:t>
      </w:r>
    </w:p>
    <w:p>
      <w:r>
        <w:t xml:space="preserve">- Discovery and current-state assessment</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financial services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1,342,527 to 1,738,303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Referenceability and customer outcomes</w:t>
      </w:r>
    </w:p>
    <w:p>
      <w:r>
        <w:t xml:space="preserve">- Security and compliance posture</w:t>
      </w:r>
    </w:p>
    <w:p>
      <w:r>
        <w:t xml:space="preserve">- Team quality and governance model</w:t>
      </w:r>
    </w:p>
    <w:p>
      <w:r>
        <w:t xml:space="preserve">- Commercial competitiveness</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