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Energy</w:t>
      </w:r>
    </w:p>
    <w:p/>
    <w:p>
      <w:pPr>
        <w:pStyle w:val="Heading1"/>
      </w:pPr>
      <w:r>
        <w:t xml:space="preserve">1. Overview</w:t>
      </w:r>
    </w:p>
    <w:p/>
    <w:p>
      <w:r>
        <w:t xml:space="preserve">Energy Holdings is seeking proposals from qualified vendors for a erp implementation initiative. The organization is a fast-growing business operating in the energy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measurable improvement in service quality</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Training, adoption, and change management</w:t>
      </w:r>
    </w:p>
    <w:p>
      <w:r>
        <w:t xml:space="preserve">- Implementation and configuration</w:t>
      </w:r>
    </w:p>
    <w:p>
      <w:r>
        <w:t xml:space="preserve">- Data migration and validation</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energy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631,539 to 994,898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Security and compliance posture</w:t>
      </w:r>
    </w:p>
    <w:p>
      <w:r>
        <w:t xml:space="preserve">- Referenceability and customer outcomes</w:t>
      </w:r>
    </w:p>
    <w:p>
      <w:r>
        <w:t xml:space="preserve">- Functional fit</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