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Managed Security Services - Technology</w:t>
      </w:r>
    </w:p>
    <w:p/>
    <w:p>
      <w:pPr>
        <w:pStyle w:val="Heading1"/>
      </w:pPr>
      <w:r>
        <w:t xml:space="preserve">1. Overview</w:t>
      </w:r>
    </w:p>
    <w:p/>
    <w:p>
      <w:r>
        <w:t xml:space="preserve">Technology Holdings is seeking proposals from qualified vendors for a managed security services initiative. The organization is a regional operator operating in the technology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reduced manual effort across core workflows</w:t>
      </w:r>
    </w:p>
    <w:p>
      <w:r>
        <w:t xml:space="preserve">- a measurable improvement in service quality</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Discovery and current-state assessment</w:t>
      </w:r>
    </w:p>
    <w:p>
      <w:r>
        <w:t xml:space="preserve">- Solution design and architecture</w:t>
      </w:r>
    </w:p>
    <w:p>
      <w:r>
        <w:t xml:space="preserve">- Implementation and configuration</w:t>
      </w:r>
    </w:p>
    <w:p>
      <w:r>
        <w:t xml:space="preserve">- Reporting, analytics, and governance</w:t>
      </w:r>
    </w:p>
    <w:p>
      <w:r>
        <w:t xml:space="preserve">- Managed services and post-launch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vendor must explain how the offering integrates with existing identity, ERP, CRM, and analytics platforms.</w:t>
      </w:r>
    </w:p>
    <w:p/>
    <w:p>
      <w:r>
        <w:t xml:space="preserve">The response should include service levels, escalation procedures, and support coverage options.</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technology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246,823 to 323,636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Referenceability and customer outcomes</w:t>
      </w:r>
    </w:p>
    <w:p>
      <w:r>
        <w:t xml:space="preserve">- Security and compliance posture</w:t>
      </w:r>
    </w:p>
    <w:p>
      <w:r>
        <w:t xml:space="preserve">- Commercial competitiveness</w:t>
      </w:r>
    </w:p>
    <w:p>
      <w:r>
        <w:t xml:space="preserve">- Functional fit</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