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Construction</w:t>
      </w:r>
    </w:p>
    <w:p/>
    <w:p>
      <w:pPr>
        <w:pStyle w:val="Heading1"/>
      </w:pPr>
      <w:r>
        <w:t xml:space="preserve">1. Overview</w:t>
      </w:r>
    </w:p>
    <w:p/>
    <w:p>
      <w:r>
        <w:t xml:space="preserve">Construction Holdings is seeking proposals from qualified vendors for a data warehouse modernization initiative. The organization is a regulated institution operating in the construction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reduced manual effort across core workflows</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Training, adoption, and change management</w:t>
      </w:r>
    </w:p>
    <w:p>
      <w:r>
        <w:t xml:space="preserve">- Discovery and current-state assessment</w:t>
      </w:r>
    </w:p>
    <w:p>
      <w:r>
        <w:t xml:space="preserve">- Managed services and post-launch support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construction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1,040,940 to 1,217,394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Security and compliance posture</w:t>
      </w:r>
    </w:p>
    <w:p>
      <w:r>
        <w:t xml:space="preserve">- Referenceability and customer outcomes</w:t>
      </w:r>
    </w:p>
    <w:p>
      <w:r>
        <w:t xml:space="preserve">- Functional fit</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