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Agriculture</w:t>
      </w:r>
    </w:p>
    <w:p/>
    <w:p>
      <w:pPr>
        <w:pStyle w:val="Heading1"/>
      </w:pPr>
      <w:r>
        <w:t xml:space="preserve">1. Overview</w:t>
      </w:r>
    </w:p>
    <w:p/>
    <w:p>
      <w:r>
        <w:t xml:space="preserve">Agriculture Holdings is seeking proposals from qualified vendors for a procurement outsourcing initiative. The organization is a public-sector agency operating in the agriculture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better cost control and more reliable reporting</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Reporting, analytics, and governance</w:t>
      </w:r>
    </w:p>
    <w:p>
      <w:r>
        <w:t xml:space="preserve">- Implementation and configuration</w:t>
      </w:r>
    </w:p>
    <w:p>
      <w:r>
        <w:t xml:space="preserve">- Training, adoption, and change management</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agriculture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1,776,323 to 2,574,608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Implementation methodology</w:t>
      </w:r>
    </w:p>
    <w:p>
      <w:r>
        <w:t xml:space="preserve">- Referenceability and customer outcomes</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