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Aerospace</w:t>
      </w:r>
    </w:p>
    <w:p/>
    <w:p>
      <w:pPr>
        <w:pStyle w:val="Heading1"/>
      </w:pPr>
      <w:r>
        <w:t xml:space="preserve">1. Overview</w:t>
      </w:r>
    </w:p>
    <w:p/>
    <w:p>
      <w:r>
        <w:t xml:space="preserve">Aerospace Holdings is seeking proposals from qualified vendors for a contact center transformation initiative. The organization is a fast-growing business operating in the aerospace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clearer operating model with stronger governance</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Discovery and current-state assessment</w:t>
      </w:r>
    </w:p>
    <w:p>
      <w:r>
        <w:t xml:space="preserve">- Solution design and architecture</w:t>
      </w:r>
    </w:p>
    <w:p>
      <w:r>
        <w:t xml:space="preserve">- Implementation and configuration</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aerospace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956,514 to 1,463,772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Team quality and governance model</w:t>
      </w:r>
    </w:p>
    <w:p>
      <w:r>
        <w:t xml:space="preserve">- Functional fit</w:t>
      </w:r>
    </w:p>
    <w:p>
      <w:r>
        <w:t xml:space="preserve">- Implementation methodology</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