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Education</w:t>
      </w:r>
    </w:p>
    <w:p/>
    <w:p>
      <w:pPr>
        <w:pStyle w:val="Heading1"/>
      </w:pPr>
      <w:r>
        <w:t xml:space="preserve">1. Overview</w:t>
      </w:r>
    </w:p>
    <w:p/>
    <w:p>
      <w:r>
        <w:t xml:space="preserve">Education Holdings is seeking proposals from qualified vendors for a procurement outsourcing initiative. The organization is a regional operator operating in the education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reduced manual effort across core workflows</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Training, adoption, and change management</w:t>
      </w:r>
    </w:p>
    <w:p>
      <w:r>
        <w:t xml:space="preserve">- Managed services and post-launch support</w:t>
      </w:r>
    </w:p>
    <w:p>
      <w:r>
        <w:t xml:space="preserve">- Data migration and validation</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education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646,847 to 913,498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Referenceability and customer outcomes</w:t>
      </w:r>
    </w:p>
    <w:p>
      <w:r>
        <w:t xml:space="preserve">- Functional fit</w:t>
      </w:r>
    </w:p>
    <w:p>
      <w:r>
        <w:t xml:space="preserve">- Industry experience</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