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Construction</w:t>
      </w:r>
    </w:p>
    <w:p/>
    <w:p>
      <w:pPr>
        <w:pStyle w:val="Heading1"/>
      </w:pPr>
      <w:r>
        <w:t xml:space="preserve">1. Overview</w:t>
      </w:r>
    </w:p>
    <w:p/>
    <w:p>
      <w:r>
        <w:t xml:space="preserve">Construction Holdings is seeking proposals from qualified vendors for a data warehouse modernization initiative. The organization is a fast-growing business operating in the construction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scalable foundation for future growth</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Discovery and current-state assessment</w:t>
      </w:r>
    </w:p>
    <w:p>
      <w:r>
        <w:t xml:space="preserve">- Reporting, analytics, and governance</w:t>
      </w:r>
    </w:p>
    <w:p>
      <w:r>
        <w:t xml:space="preserve">- Testing and cutover support</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construction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832,632 to 1,192,924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Referenceability and customer outcomes</w:t>
      </w:r>
    </w:p>
    <w:p>
      <w:r>
        <w:t xml:space="preserve">- Implementation methodology</w:t>
      </w:r>
    </w:p>
    <w:p>
      <w:r>
        <w:t xml:space="preserve">- Security and compliance posture</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