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Aerospace</w:t>
      </w:r>
    </w:p>
    <w:p/>
    <w:p>
      <w:pPr>
        <w:pStyle w:val="Heading1"/>
      </w:pPr>
      <w:r>
        <w:t xml:space="preserve">1. Overview</w:t>
      </w:r>
    </w:p>
    <w:p/>
    <w:p>
      <w:r>
        <w:t xml:space="preserve">Aerospace Holdings is seeking proposals from qualified vendors for a contact center transformation initiative. The organization is a regulated institution operating in the aerospace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scalable foundation for future growth</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Data migration and validation</w:t>
      </w:r>
    </w:p>
    <w:p>
      <w:r>
        <w:t xml:space="preserve">- Testing and cutover support</w:t>
      </w:r>
    </w:p>
    <w:p>
      <w:r>
        <w:t xml:space="preserve">- Discovery and current-state assessment</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Bidders should provide a phased implementation plan with clear owner responsibilities and acceptance criteria.</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aerospace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1,261,789 to 1,489,232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Referenceability and customer outcomes</w:t>
      </w:r>
    </w:p>
    <w:p>
      <w:r>
        <w:t xml:space="preserve">- Security and compliance posture</w:t>
      </w:r>
    </w:p>
    <w:p>
      <w:r>
        <w:t xml:space="preserve">- Industry experience</w:t>
      </w:r>
    </w:p>
    <w:p>
      <w:r>
        <w:t xml:space="preserve">- Commercial competitiveness</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