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Healthcare</w:t>
      </w:r>
    </w:p>
    <w:p/>
    <w:p>
      <w:pPr>
        <w:pStyle w:val="Heading1"/>
      </w:pPr>
      <w:r>
        <w:t xml:space="preserve">1. Overview</w:t>
      </w:r>
    </w:p>
    <w:p/>
    <w:p>
      <w:r>
        <w:t xml:space="preserve">Healthcare Holdings is seeking proposals from qualified vendors for a enterprise software platform initiative. The organization is a regional operator operating in the healthcare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Implementation and configuration</w:t>
      </w:r>
    </w:p>
    <w:p>
      <w:r>
        <w:t xml:space="preserve">- Data migration and validation</w:t>
      </w:r>
    </w:p>
    <w:p>
      <w:r>
        <w:t xml:space="preserve">- Training, adoption, and change management</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healthcare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1,321,041 to 2,103,566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Security and compliance posture</w:t>
      </w:r>
    </w:p>
    <w:p>
      <w:r>
        <w:t xml:space="preserve">- Commercial competitiveness</w:t>
      </w:r>
    </w:p>
    <w:p>
      <w:r>
        <w:t xml:space="preserve">- Functional fit</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