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Retail</w:t>
      </w:r>
    </w:p>
    <w:p/>
    <w:p>
      <w:pPr>
        <w:pStyle w:val="Heading1"/>
      </w:pPr>
      <w:r>
        <w:t xml:space="preserve">1. Overview</w:t>
      </w:r>
    </w:p>
    <w:p/>
    <w:p>
      <w:r>
        <w:t xml:space="preserve">Retail Holdings is seeking proposals from qualified vendors for a managed security services initiative. The organization is a regulated institution operating in the retail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reduced manual effort across core workflows</w:t>
      </w:r>
    </w:p>
    <w:p>
      <w:r>
        <w:t xml:space="preserve">- a scalable foundation for future growth</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Solution design and architecture</w:t>
      </w:r>
    </w:p>
    <w:p>
      <w:r>
        <w:t xml:space="preserve">- Training, adoption, and change management</w:t>
      </w:r>
    </w:p>
    <w:p>
      <w:r>
        <w:t xml:space="preserve">- Testing and cutover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retail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1,063,241 to 1,267,428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Commercial competitiveness</w:t>
      </w:r>
    </w:p>
    <w:p>
      <w:r>
        <w:t xml:space="preserve">- Functional fit</w:t>
      </w:r>
    </w:p>
    <w:p>
      <w:r>
        <w:t xml:space="preserve">- Referenceability and customer outcomes</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