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Construction</w:t>
      </w:r>
    </w:p>
    <w:p/>
    <w:p>
      <w:pPr>
        <w:pStyle w:val="Heading1"/>
      </w:pPr>
      <w:r>
        <w:t xml:space="preserve">1. Overview</w:t>
      </w:r>
    </w:p>
    <w:p/>
    <w:p>
      <w:r>
        <w:t xml:space="preserve">Construction Holdings is seeking proposals from qualified vendors for a data warehouse modernization initiative. The organization is a global enterprise operating in the construction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clearer operating model with stronger governance</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Training, adoption, and change management</w:t>
      </w:r>
    </w:p>
    <w:p>
      <w:r>
        <w:t xml:space="preserve">- Data migration and validation</w:t>
      </w:r>
    </w:p>
    <w:p>
      <w:r>
        <w:t xml:space="preserve">- Reporting, analytics, and governance</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construction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1,642,797 to 2,459,012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Industry experience</w:t>
      </w:r>
    </w:p>
    <w:p>
      <w:r>
        <w:t xml:space="preserve">- Referenceability and customer outcomes</w:t>
      </w:r>
    </w:p>
    <w:p>
      <w:r>
        <w:t xml:space="preserve">- Commercial competitiveness</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