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Utilities</w:t>
      </w:r>
    </w:p>
    <w:p/>
    <w:p>
      <w:pPr>
        <w:pStyle w:val="Heading1"/>
      </w:pPr>
      <w:r>
        <w:t xml:space="preserve">1. Overview</w:t>
      </w:r>
    </w:p>
    <w:p/>
    <w:p>
      <w:r>
        <w:t xml:space="preserve">Utilities Holdings is seeking proposals from qualified vendors for a application support services initiative. The organization is a regulated institution operating in the utilities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scalable foundation for future growth</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Discovery and current-state assessment</w:t>
      </w:r>
    </w:p>
    <w:p>
      <w:r>
        <w:t xml:space="preserve">- Data migration and validation</w:t>
      </w:r>
    </w:p>
    <w:p>
      <w:r>
        <w:t xml:space="preserve">- Implementation and configuration</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utilities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346,071 to 525,129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Functional fit</w:t>
      </w:r>
    </w:p>
    <w:p>
      <w:r>
        <w:t xml:space="preserve">- Referenceability and customer outcomes</w:t>
      </w:r>
    </w:p>
    <w:p>
      <w:r>
        <w:t xml:space="preserve">- Security and compliance posture</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