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292C3D"/>
          <w:spacing w:val="0"/>
          <w:sz w:val="30"/>
          <w:szCs w:val="30"/>
          <w:lang w:val="ru-RU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92C3D"/>
          <w:spacing w:val="0"/>
          <w:sz w:val="30"/>
          <w:szCs w:val="30"/>
          <w:lang w:val="ru-RU"/>
        </w:rPr>
        <w:t>Методологический раздел</w:t>
      </w:r>
    </w:p>
    <w:p>
      <w:pPr>
        <w:pStyle w:val="BodyText"/>
        <w:bidi w:val="0"/>
        <w:jc w:val="center"/>
        <w:rPr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92C3D"/>
          <w:spacing w:val="0"/>
          <w:sz w:val="24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292C3D"/>
          <w:spacing w:val="0"/>
          <w:sz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92C3D"/>
          <w:spacing w:val="0"/>
          <w:sz w:val="24"/>
          <w:szCs w:val="24"/>
          <w:lang w:val="ru-RU"/>
        </w:rPr>
        <w:t>Ф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4"/>
          <w:szCs w:val="24"/>
        </w:rPr>
        <w:t>ормулировка исследовательской задачи</w:t>
      </w:r>
    </w:p>
    <w:p>
      <w:pPr>
        <w:pStyle w:val="BodyText"/>
        <w:bidi w:val="0"/>
        <w:jc w:val="center"/>
        <w:rPr>
          <w:b/>
          <w:bCs/>
          <w:color w:val="0F1115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92C3D"/>
          <w:spacing w:val="0"/>
          <w:sz w:val="24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Cs w:val="false"/>
          <w:color w:val="0F1115"/>
          <w:szCs w:val="24"/>
          <w:lang w:val="ru-RU"/>
        </w:rPr>
        <w:tab/>
        <w:t xml:space="preserve">Полная формулировка задачи -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F1115"/>
          <w:spacing w:val="0"/>
          <w:sz w:val="24"/>
          <w:szCs w:val="24"/>
          <w:lang w:val="ru-RU"/>
        </w:rPr>
        <w:t>Определение параметров отражённого и преломлённого лучей на границе раздела двух полубесконечных сред в векторной постановке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olor w:val="0F1115"/>
          <w:spacing w:val="0"/>
          <w:sz w:val="24"/>
          <w:szCs w:val="24"/>
          <w:lang w:val="ru-RU"/>
        </w:rPr>
        <w:t>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iCs w:val="false"/>
          <w:color w:val="0F1115"/>
          <w:szCs w:val="24"/>
        </w:rPr>
        <w:tab/>
        <w:t>Объект исследования</w:t>
      </w:r>
      <w:r>
        <w:rPr>
          <w:rFonts w:ascii="Times New Roman" w:hAnsi="Times New Roman"/>
          <w:bCs w:val="false"/>
          <w:iCs w:val="false"/>
          <w:color w:val="0F1115"/>
          <w:szCs w:val="24"/>
        </w:rPr>
        <w:t> - физический</w:t>
      </w:r>
      <w:r>
        <w:rPr>
          <w:rFonts w:ascii="Times New Roman" w:hAnsi="Times New Roman"/>
          <w:bCs w:val="false"/>
          <w:iCs w:val="false"/>
          <w:caps w:val="false"/>
          <w:smallCaps w:val="false"/>
          <w:color w:val="0F1115"/>
          <w:spacing w:val="0"/>
          <w:szCs w:val="24"/>
        </w:rPr>
        <w:t> 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zCs w:val="24"/>
        </w:rPr>
        <w:t>процесс </w:t>
      </w:r>
      <w:r>
        <w:rPr>
          <w:rFonts w:ascii="Times New Roman" w:hAnsi="Times New Roman"/>
          <w:bCs w:val="false"/>
          <w:iCs w:val="false"/>
          <w:color w:val="0F1115"/>
          <w:szCs w:val="24"/>
        </w:rPr>
        <w:t xml:space="preserve">отражения и преломления электромагнитной волны (плоской монохроматической волны) на плоской границе раздела двух однородных изотропных сред. 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ab/>
        <w:t>Предмет исследования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 - численные методы расчёта параметров отражённой и преломлённой волн (углы, амплитуды, интенсивности, коэффициенты отражения и пропускания) при нормальном и наклонном падении.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4"/>
          <w:szCs w:val="24"/>
          <w:lang w:val="ru-RU"/>
        </w:rPr>
        <w:tab/>
        <w:t xml:space="preserve">Проблема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4"/>
          <w:szCs w:val="24"/>
          <w:lang w:val="ru-RU"/>
        </w:rPr>
        <w:t>д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F1115"/>
          <w:spacing w:val="0"/>
          <w:sz w:val="24"/>
          <w:szCs w:val="24"/>
        </w:rPr>
        <w:t>ля</w:t>
      </w:r>
      <w:r>
        <w:rPr>
          <w:rStyle w:val="Emphasis"/>
          <w:rFonts w:ascii="Times New Roman" w:hAnsi="Times New Roman"/>
          <w:b w:val="false"/>
          <w:bCs/>
          <w:i w:val="false"/>
          <w:iCs w:val="false"/>
          <w:color w:val="0F1115"/>
          <w:spacing w:val="0"/>
          <w:sz w:val="24"/>
          <w:szCs w:val="24"/>
        </w:rPr>
        <w:t xml:space="preserve"> плоской границы раздела двух полубесконечных сред существует аналитическое решение - формулы Френеля. Однако при переходе к численным методам (например, при решении обратной задачи восстановления оптических параметров среды по экспериментальным данным) возникает ряд вопросов: выбор численного метода, устойчивость решения, сравнение различных подходов к оптимизации. </w:t>
      </w:r>
      <w:r>
        <w:rPr>
          <w:rStyle w:val="Emphasis"/>
          <w:rFonts w:ascii="Times New Roman" w:hAnsi="Times New Roman"/>
          <w:b w:val="false"/>
          <w:bCs/>
          <w:i w:val="false"/>
          <w:iCs w:val="false"/>
          <w:color w:val="0F1115"/>
          <w:spacing w:val="0"/>
          <w:sz w:val="24"/>
          <w:szCs w:val="24"/>
        </w:rPr>
        <w:t>Поэтому</w:t>
      </w:r>
      <w:r>
        <w:rPr>
          <w:rStyle w:val="Emphasis"/>
          <w:rFonts w:ascii="Times New Roman" w:hAnsi="Times New Roman"/>
          <w:b w:val="false"/>
          <w:bCs/>
          <w:i w:val="false"/>
          <w:iCs w:val="false"/>
          <w:color w:val="0F1115"/>
          <w:spacing w:val="0"/>
          <w:sz w:val="24"/>
          <w:szCs w:val="24"/>
        </w:rPr>
        <w:t xml:space="preserve"> решение этой задачи является необходимым первым шагом перед переходом к более сложным многослойным структурам.</w:t>
      </w:r>
    </w:p>
    <w:p>
      <w:pPr>
        <w:pStyle w:val="BodyText"/>
        <w:bidi w:val="0"/>
        <w:jc w:val="start"/>
        <w:rPr>
          <w:rStyle w:val="Emphasis"/>
          <w:rFonts w:ascii="Times New Roman" w:hAnsi="Times New Roman"/>
          <w:b w:val="false"/>
          <w:bCs/>
          <w:i w:val="false"/>
          <w:i w:val="false"/>
          <w:iCs w:val="false"/>
          <w:color w:val="0F1115"/>
          <w:spacing w:val="0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Emphasis"/>
          <w:rFonts w:ascii="Times New Roman" w:hAnsi="Times New Roman"/>
          <w:b w:val="false"/>
          <w:bCs/>
          <w:i w:val="false"/>
          <w:iCs w:val="false"/>
          <w:caps w:val="false"/>
          <w:smallCaps w:val="false"/>
          <w:color w:val="0F1115"/>
          <w:spacing w:val="0"/>
          <w:sz w:val="24"/>
          <w:szCs w:val="24"/>
        </w:rPr>
        <w:tab/>
      </w: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4"/>
          <w:szCs w:val="24"/>
        </w:rPr>
        <w:t>Гипотеза</w:t>
      </w:r>
      <w:r>
        <w:rPr>
          <w:rStyle w:val="Emphasis"/>
          <w:rFonts w:ascii="Times New Roman" w:hAnsi="Times New Roman"/>
          <w:b w:val="false"/>
          <w:bCs/>
          <w:i w:val="false"/>
          <w:iCs w:val="false"/>
          <w:caps w:val="false"/>
          <w:smallCaps w:val="false"/>
          <w:color w:val="0F1115"/>
          <w:spacing w:val="0"/>
          <w:sz w:val="24"/>
          <w:szCs w:val="24"/>
        </w:rPr>
        <w:t> состоит из следующих утверждений: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Законы геометрической оптики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 (закон отражения и закон Снеллиуса) позволяют однозначно определить углы отражённого и преломлённого лучей для любых значений показателей преломления сред и угла падения.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Формулы Френеля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, реализованные на Python с использованием библиотеки NumPy, позволяют с высокой точностью (погрешность менее 10⁻¹⁵) рассчитывать амплитудные и энергетические коэффициенты отражения и пропускания для произвольных углов падения и обеих поляризаций (TE и TM).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88"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Численная реализация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 законов отражения и преломления на Python является корректной, если выполняется закон сохранения энергии: </w:t>
      </w:r>
      <w:r>
        <w:rPr>
          <w:rFonts w:ascii="Times New Roman" w:hAnsi="Times New Roman"/>
          <w:b w:val="false"/>
          <w:i/>
          <w:caps w:val="false"/>
          <w:smallCaps w:val="false"/>
          <w:color w:val="0F1115"/>
          <w:spacing w:val="0"/>
          <w:sz w:val="24"/>
        </w:rPr>
        <w:t>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+</w:t>
      </w:r>
      <w:r>
        <w:rPr>
          <w:rFonts w:ascii="Times New Roman" w:hAnsi="Times New Roman"/>
          <w:b w:val="false"/>
          <w:i/>
          <w:caps w:val="false"/>
          <w:smallCaps w:val="false"/>
          <w:color w:val="0F1115"/>
          <w:spacing w:val="0"/>
          <w:sz w:val="24"/>
        </w:rPr>
        <w:t>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=1 (для непоглощающих сред) при любых углах падения, кроме случая полного внутреннего отражения.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 xml:space="preserve"> 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Разработанная численная модель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 может служить основой для последующего усложнения задачи: учёта поглощения в средах, перехода к тонкой плёнке (интерференция на двух границах), а затем — к решению обратной задачи.</w:t>
      </w:r>
    </w:p>
    <w:p>
      <w:pPr>
        <w:pStyle w:val="BodyText"/>
        <w:bidi w:val="0"/>
        <w:jc w:val="start"/>
        <w:rPr>
          <w:rStyle w:val="Emphasis"/>
          <w:rFonts w:ascii="Times New Roman" w:hAnsi="Times New Roman"/>
          <w:b w:val="false"/>
          <w:bCs/>
          <w:i w:val="false"/>
          <w:i w:val="false"/>
          <w:iCs w:val="false"/>
          <w:color w:val="0F1115"/>
          <w:spacing w:val="0"/>
          <w:sz w:val="24"/>
          <w:szCs w:val="24"/>
        </w:rPr>
      </w:pPr>
      <w:r>
        <w:rPr/>
      </w:r>
    </w:p>
    <w:p>
      <w:pPr>
        <w:pStyle w:val="BodyText"/>
        <w:bidi w:val="0"/>
        <w:jc w:val="start"/>
        <w:rPr>
          <w:rStyle w:val="Emphasis"/>
          <w:rFonts w:ascii="Times New Roman" w:hAnsi="Times New Roman"/>
          <w:b w:val="false"/>
          <w:bCs/>
          <w:i w:val="false"/>
          <w:i w:val="false"/>
          <w:iCs w:val="false"/>
          <w:color w:val="0F1115"/>
          <w:spacing w:val="0"/>
          <w:sz w:val="24"/>
          <w:szCs w:val="24"/>
        </w:rPr>
      </w:pPr>
      <w:r>
        <w:rPr/>
      </w:r>
    </w:p>
    <w:p>
      <w:pPr>
        <w:pStyle w:val="BodyText"/>
        <w:bidi w:val="0"/>
        <w:jc w:val="center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F1115"/>
          <w:spacing w:val="0"/>
          <w:sz w:val="24"/>
          <w:szCs w:val="24"/>
          <w:lang w:val="ru-RU"/>
        </w:rPr>
        <w:t>Обзор и сравнение би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F1115"/>
          <w:spacing w:val="0"/>
          <w:sz w:val="24"/>
          <w:szCs w:val="24"/>
          <w:lang w:val="ru-RU"/>
        </w:rPr>
        <w:t>б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F1115"/>
          <w:spacing w:val="0"/>
          <w:sz w:val="24"/>
          <w:szCs w:val="24"/>
          <w:lang w:val="ru-RU"/>
        </w:rPr>
        <w:t>лиотек</w:t>
      </w:r>
      <w:r>
        <w:rPr>
          <w:rStyle w:val="Emphasis"/>
          <w:rFonts w:ascii="Times New Roman" w:hAnsi="Times New Roman"/>
          <w:b w:val="false"/>
          <w:bCs/>
          <w:i w:val="false"/>
          <w:iCs w:val="false"/>
          <w:color w:val="0F1115"/>
          <w:spacing w:val="0"/>
          <w:sz w:val="24"/>
          <w:szCs w:val="24"/>
          <w:lang w:val="ru-RU"/>
        </w:rPr>
        <w:br/>
      </w:r>
    </w:p>
    <w:p>
      <w:pPr>
        <w:pStyle w:val="BodyText"/>
        <w:bidi w:val="0"/>
        <w:jc w:val="start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4"/>
          <w:szCs w:val="24"/>
          <w:lang w:val="ru-RU"/>
        </w:rPr>
        <w:tab/>
        <w:t>Стандартный Python (без библиотек)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Стандартный Python включает в себя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>модуль “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>math”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, предоставляющий базовые математические функции: тригонометрические, экспоненциальные, логарифмические, а также работу с комплексными числами. Все формулы Френеля и закон Снеллиуса могут быть реализованы с использованием тольк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о “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>math”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b/>
          <w:i w:val="false"/>
          <w:iCs w:val="false"/>
          <w:caps w:val="false"/>
          <w:smallCaps w:val="false"/>
          <w:color w:val="0F1115"/>
          <w:spacing w:val="0"/>
          <w:sz w:val="24"/>
          <w:szCs w:val="24"/>
          <w:lang w:val="ru-RU"/>
        </w:rPr>
        <w:t>Достоинства: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1.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Полная прозрачность кода — видно каждое математическое действие.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2.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Не требует установки дополнительных библиотек (что может быть важно в некоторых средах).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3.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Идеально подходит для целей обучения и понимания физики процесса.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Недостатки: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1.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Для вычисления зависимости </w:t>
      </w:r>
      <w:r>
        <w:rPr>
          <w:rFonts w:ascii="Times New Roman" w:hAnsi="Times New Roman"/>
          <w:b w:val="false"/>
          <w:i/>
          <w:caps w:val="false"/>
          <w:smallCaps w:val="false"/>
          <w:color w:val="0F1115"/>
          <w:spacing w:val="0"/>
          <w:sz w:val="24"/>
        </w:rPr>
        <w:t>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(</w:t>
      </w:r>
      <w:r>
        <w:rPr>
          <w:rFonts w:ascii="Times New Roman" w:hAnsi="Times New Roman"/>
          <w:b w:val="false"/>
          <w:i/>
          <w:caps w:val="false"/>
          <w:smallCaps w:val="false"/>
          <w:color w:val="0F1115"/>
          <w:spacing w:val="0"/>
          <w:sz w:val="24"/>
        </w:rPr>
        <w:t>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) при массиве углов (например, от 0° до 90° с шагом 1°) потребуется цикл. При большом количестве углов это будет работать медленно.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2.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Код становится громоздким при необходимости одновременного расчёта для TE и TM поляризаций, для разных длин волн и т.д.</w:t>
      </w:r>
    </w:p>
    <w:p>
      <w:pPr>
        <w:pStyle w:val="BodyText"/>
        <w:bidi w:val="0"/>
        <w:jc w:val="start"/>
        <w:rPr>
          <w:rStyle w:val="Emphasis"/>
          <w:rFonts w:ascii="Times New Roman" w:hAnsi="Times New Roman"/>
          <w:b w:val="false"/>
          <w:bCs/>
          <w:i w:val="false"/>
          <w:i w:val="false"/>
          <w:iCs w:val="false"/>
          <w:color w:val="0F1115"/>
          <w:spacing w:val="0"/>
          <w:sz w:val="24"/>
          <w:szCs w:val="24"/>
          <w:lang w:val="ru-RU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F1115"/>
          <w:spacing w:val="0"/>
          <w:sz w:val="24"/>
          <w:szCs w:val="24"/>
          <w:lang w:val="ru-RU"/>
        </w:rPr>
        <w:t>Применимость:</w:t>
      </w:r>
    </w:p>
    <w:p>
      <w:pPr>
        <w:pStyle w:val="BodyText"/>
        <w:bidi w:val="0"/>
        <w:jc w:val="start"/>
        <w:rPr>
          <w:rStyle w:val="Emphasis"/>
          <w:rFonts w:ascii="Times New Roman" w:hAnsi="Times New Roman"/>
          <w:b w:val="false"/>
          <w:bCs/>
          <w:i w:val="false"/>
          <w:i w:val="false"/>
          <w:iCs w:val="false"/>
          <w:color w:val="0F1115"/>
          <w:spacing w:val="0"/>
          <w:sz w:val="24"/>
          <w:szCs w:val="24"/>
          <w:lang w:val="ru-RU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Emphasis"/>
          <w:rFonts w:ascii="Times New Roman" w:hAnsi="Times New Roman"/>
          <w:b w:val="false"/>
          <w:bCs/>
          <w:i w:val="false"/>
          <w:iCs w:val="false"/>
          <w:color w:val="0F1115"/>
          <w:spacing w:val="0"/>
          <w:sz w:val="24"/>
          <w:szCs w:val="24"/>
          <w:lang w:val="ru-RU"/>
        </w:rPr>
        <w:t>Является базой для написания программ, все остальные библиотеки являются дополнением и расширением возможностей</w:t>
      </w:r>
    </w:p>
    <w:p>
      <w:pPr>
        <w:pStyle w:val="BodyText"/>
        <w:bidi w:val="0"/>
        <w:jc w:val="start"/>
        <w:rPr>
          <w:rStyle w:val="Emphasis"/>
          <w:rFonts w:ascii="Times New Roman" w:hAnsi="Times New Roman"/>
          <w:b w:val="false"/>
          <w:bCs/>
          <w:i w:val="false"/>
          <w:i w:val="false"/>
          <w:iCs w:val="false"/>
          <w:color w:val="0F1115"/>
          <w:spacing w:val="0"/>
          <w:sz w:val="24"/>
          <w:szCs w:val="24"/>
          <w:lang w:val="ru-RU"/>
        </w:rPr>
      </w:pPr>
      <w:r>
        <w:rPr/>
      </w:r>
    </w:p>
    <w:p>
      <w:pPr>
        <w:pStyle w:val="Heading4"/>
        <w:bidi w:val="0"/>
        <w:jc w:val="start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aps w:val="false"/>
          <w:smallCaps w:val="false"/>
          <w:color w:val="0F1115"/>
          <w:spacing w:val="0"/>
          <w:sz w:val="24"/>
          <w:szCs w:val="24"/>
          <w:lang w:val="ru-RU"/>
        </w:rPr>
        <w:t>NumPy</w:t>
      </w:r>
    </w:p>
    <w:p>
      <w:pPr>
        <w:pStyle w:val="BodyText"/>
        <w:widowControl/>
        <w:bidi w:val="0"/>
        <w:spacing w:lineRule="atLeast" w:line="330" w:before="240" w:after="2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NumPy — это фундаментальная библиотека для научных вычислений на Python. Она предоставляет многомерные массивы и набор векторизованных функций для операций над ними. Для данной задачи ключевыми возможностями NumPy являются: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1.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Векторизованные тригонометрические функции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np.sin, np.cos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работают с массивами так же быстро, как со скалярами.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2.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Работа с комплексными числами: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 массивы комплексных чисел, функции </w:t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np.real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np.imag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np.abs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, </w:t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  <w:shd w:fill="EBEEF2" w:val="clear"/>
        </w:rPr>
        <w:t>np.conj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3.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 xml:space="preserve">Элементные операции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применяются к массивам поэлементно б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ез явных циклов.</w:t>
      </w:r>
    </w:p>
    <w:p>
      <w:pPr>
        <w:pStyle w:val="BodyText"/>
        <w:widowControl/>
        <w:pBdr/>
        <w:bidi w:val="0"/>
        <w:spacing w:lineRule="atLeast" w:line="330" w:before="0" w:after="0"/>
        <w:ind w:hanging="0" w:start="0" w:end="0"/>
        <w:jc w:val="start"/>
        <w:rPr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</w:rPr>
      </w:r>
    </w:p>
    <w:p>
      <w:pPr>
        <w:pStyle w:val="BodyText"/>
        <w:widowControl/>
        <w:pBdr/>
        <w:bidi w:val="0"/>
        <w:spacing w:lineRule="atLeast" w:line="330" w:before="0" w:after="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Достоинства:</w:t>
      </w:r>
    </w:p>
    <w:p>
      <w:pPr>
        <w:pStyle w:val="BodyText"/>
        <w:widowControl/>
        <w:pBdr/>
        <w:bidi w:val="0"/>
        <w:spacing w:lineRule="atLeast" w:line="330" w:before="0" w:after="0"/>
        <w:ind w:hanging="0" w:start="0" w:end="0"/>
        <w:jc w:val="start"/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1.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Высокая производительность благодаря векторизации и реализации на C/Fortran.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288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288"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2.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Компактный и читаемый код — одна функция вычисляет </w:t>
      </w:r>
      <w:r>
        <w:rPr>
          <w:rFonts w:ascii="Times New Roman" w:hAnsi="Times New Roman"/>
          <w:b w:val="false"/>
          <w:i/>
          <w:caps w:val="false"/>
          <w:smallCaps w:val="false"/>
          <w:color w:val="0F1115"/>
          <w:spacing w:val="0"/>
          <w:sz w:val="24"/>
        </w:rPr>
        <w:t>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(</w:t>
      </w:r>
      <w:r>
        <w:rPr>
          <w:rFonts w:ascii="Times New Roman" w:hAnsi="Times New Roman"/>
          <w:b w:val="false"/>
          <w:i/>
          <w:caps w:val="false"/>
          <w:smallCaps w:val="false"/>
          <w:color w:val="0F1115"/>
          <w:spacing w:val="0"/>
          <w:sz w:val="24"/>
        </w:rPr>
        <w:t>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) для всего массива углов одновременно.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3.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Является стандартом для научных вычислений на Python.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Недостатки: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Неявные вычисления и расчёты.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Применимость: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NumPy является 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4"/>
        </w:rPr>
        <w:t>основным инструментом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 для реализации всех численных расчётов: закон Снеллиуса, формулы Френеля.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Выполняет операции с матрицами и векторами.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4"/>
          <w:lang w:val="en-US"/>
        </w:rPr>
        <w:t>S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4"/>
          <w:lang w:val="en-US"/>
        </w:rPr>
        <w:t>ciPy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SciPy -это библиотека, расширяющая возможности NumPy модулями для научных и инженерных расчётов.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Например, 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одуль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 “scipy.optimize”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 предоставляет алгоритмы для минимизации функций, решения уравнений и т. д.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Достоинства: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1.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Готовые, хорошо протестированные алгоритмы оптимизации.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2.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Возможность выбора метода (BFGS, L-BFGS-B, Nelder-Mead и др.).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3.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Простая интеграция с NumPy.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Недостатки: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Для прямой задачи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базового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en-US"/>
        </w:rPr>
        <w:t xml:space="preserve">Python c numpy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  <w:lang w:val="ru-RU"/>
        </w:rPr>
        <w:t>может быть достаточно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.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before="0" w:after="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</w:rPr>
        <w:t>Применимость: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t>Используется для решения обратной задачи.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before="240" w:after="240"/>
        <w:ind w:hanging="0" w:start="0" w:end="0"/>
        <w:jc w:val="center"/>
        <w:rPr/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F1115"/>
          <w:spacing w:val="0"/>
          <w:sz w:val="24"/>
        </w:rPr>
        <w:t>Сравнительная таблица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b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/>
        <w:tc>
          <w:tcPr>
            <w:tcW w:w="1927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Инструмент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Функция</w:t>
            </w:r>
          </w:p>
        </w:tc>
        <w:tc>
          <w:tcPr>
            <w:tcW w:w="1927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Достоинства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Недостатки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Применимость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Style17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Python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База для программы, стандартные операции и структура кода</w:t>
            </w:r>
          </w:p>
        </w:tc>
        <w:tc>
          <w:tcPr>
            <w:tcW w:w="1927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Прозрачность кода, возможность дополнить билбиотеками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Низкая производительность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Основная часть программы написана будет на этом языке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Style17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NumPy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Векторные операции, работа с комплекснымичислами</w:t>
            </w:r>
          </w:p>
        </w:tc>
        <w:tc>
          <w:tcPr>
            <w:tcW w:w="1927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Высокая производительность, удобная реализация математических операций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Неявные вычисления и расчёты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Основной инструмент расчётов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Style17"/>
              <w:bidi w:val="0"/>
              <w:jc w:val="start"/>
              <w:rPr>
                <w:lang w:val="en-US"/>
              </w:rPr>
            </w:pPr>
            <w:r>
              <w:rPr>
                <w:lang w:val="en-US"/>
              </w:rPr>
              <w:t>SciPy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Интерполяция, интегрирование</w:t>
            </w:r>
          </w:p>
        </w:tc>
        <w:tc>
          <w:tcPr>
            <w:tcW w:w="1927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Возможность для решения обратной задачи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Для прямой задачи не обязателен</w:t>
            </w:r>
          </w:p>
        </w:tc>
        <w:tc>
          <w:tcPr>
            <w:tcW w:w="1928" w:type="dxa"/>
            <w:tcBorders/>
          </w:tcPr>
          <w:p>
            <w:pPr>
              <w:pStyle w:val="Style17"/>
              <w:bidi w:val="0"/>
              <w:jc w:val="start"/>
              <w:rPr/>
            </w:pPr>
            <w:r>
              <w:rPr/>
              <w:t>Вспомогательный инструмент</w:t>
            </w:r>
          </w:p>
        </w:tc>
      </w:tr>
    </w:tbl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/>
      </w:r>
    </w:p>
    <w:p>
      <w:pPr>
        <w:pStyle w:val="BodyText"/>
        <w:bidi w:val="0"/>
        <w:jc w:val="center"/>
        <w:rPr>
          <w:b/>
          <w:bCs/>
          <w:color w:val="0F1115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92C3D"/>
          <w:spacing w:val="0"/>
          <w:sz w:val="24"/>
        </w:rPr>
      </w:r>
    </w:p>
    <w:p>
      <w:pPr>
        <w:pStyle w:val="BodyText"/>
        <w:bidi w:val="0"/>
        <w:jc w:val="center"/>
        <w:rPr>
          <w:color w:val="0F1115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92C3D"/>
          <w:spacing w:val="0"/>
          <w:sz w:val="24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92C3D"/>
          <w:spacing w:val="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92C3D"/>
          <w:spacing w:val="0"/>
          <w:sz w:val="24"/>
          <w:szCs w:val="24"/>
          <w:lang w:val="en-US"/>
        </w:rPr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92C3D"/>
          <w:spacing w:val="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92C3D"/>
          <w:spacing w:val="0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  <w:sz w:val="30"/>
          <w:szCs w:val="30"/>
        </w:rPr>
        <w:t>Диаграмма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03320" cy="774954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2"/>
        <w:bidi w:val="0"/>
        <w:jc w:val="center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33"/>
        </w:rPr>
        <w:t>Ограничения и риски выбранного подхода</w:t>
      </w:r>
    </w:p>
    <w:p>
      <w:pPr>
        <w:pStyle w:val="BodyText"/>
        <w:bidi w:val="0"/>
        <w:jc w:val="center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33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4"/>
          <w:szCs w:val="24"/>
          <w:lang w:val="ru-RU"/>
        </w:rPr>
        <w:t xml:space="preserve">Ограничения модели 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408"/>
        <w:gridCol w:w="3054"/>
        <w:gridCol w:w="3176"/>
      </w:tblGrid>
      <w:tr>
        <w:trPr>
          <w:tblHeader w:val="true"/>
        </w:trPr>
        <w:tc>
          <w:tcPr>
            <w:tcW w:w="3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Ограничение</w:t>
            </w:r>
          </w:p>
        </w:tc>
        <w:tc>
          <w:tcPr>
            <w:tcW w:w="30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Пояснение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Влияние на результаты</w:t>
            </w:r>
          </w:p>
        </w:tc>
      </w:tr>
      <w:tr>
        <w:trPr/>
        <w:tc>
          <w:tcPr>
            <w:tcW w:w="3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Граница раздела — бесконечная плоскость</w:t>
            </w:r>
          </w:p>
        </w:tc>
        <w:tc>
          <w:tcPr>
            <w:tcW w:w="30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 xml:space="preserve">Не учитываются краевые эффекты 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Для тонких плёнок краевые эффекты пренебрежимо малы</w:t>
            </w:r>
          </w:p>
        </w:tc>
      </w:tr>
      <w:tr>
        <w:trPr/>
        <w:tc>
          <w:tcPr>
            <w:tcW w:w="3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Среды однородны и изотропны</w:t>
            </w:r>
          </w:p>
        </w:tc>
        <w:tc>
          <w:tcPr>
            <w:tcW w:w="30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Оптические свойства не зависят от координат и направления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Не подходит для анизотропных материалов</w:t>
            </w:r>
          </w:p>
        </w:tc>
      </w:tr>
      <w:tr>
        <w:trPr/>
        <w:tc>
          <w:tcPr>
            <w:tcW w:w="3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Обе среды прозрачны</w:t>
            </w:r>
          </w:p>
        </w:tc>
        <w:tc>
          <w:tcPr>
            <w:tcW w:w="30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/>
                <w:caps w:val="false"/>
                <w:smallCaps w:val="false"/>
                <w:sz w:val="24"/>
                <w:szCs w:val="24"/>
              </w:rPr>
              <w:t>κ</w:t>
            </w: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=0, нет поглощения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3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577850"/>
                      <wp:effectExtent l="0" t="0" r="0" b="0"/>
                      <wp:wrapNone/>
                      <wp:docPr id="2" name="Врез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57785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14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κ=0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45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κ=0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При учёте поглощения формулы усложняются</w:t>
            </w:r>
          </w:p>
        </w:tc>
      </w:tr>
      <w:tr>
        <w:trPr/>
        <w:tc>
          <w:tcPr>
            <w:tcW w:w="3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Падающая волна — плоская монохроматическая</w:t>
            </w:r>
          </w:p>
        </w:tc>
        <w:tc>
          <w:tcPr>
            <w:tcW w:w="30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Одна длина волны, бесконечный фронт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Реальные источники имеют спектральную ширину</w:t>
            </w:r>
          </w:p>
        </w:tc>
      </w:tr>
      <w:tr>
        <w:trPr/>
        <w:tc>
          <w:tcPr>
            <w:tcW w:w="340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Фиксированная поляризация</w:t>
            </w:r>
          </w:p>
        </w:tc>
        <w:tc>
          <w:tcPr>
            <w:tcW w:w="305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TE или TM по отдельности</w:t>
            </w:r>
          </w:p>
        </w:tc>
        <w:tc>
          <w:tcPr>
            <w:tcW w:w="317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4"/>
                <w:szCs w:val="24"/>
              </w:rPr>
              <w:t>Для естественного света нужно усреднение</w:t>
            </w:r>
          </w:p>
        </w:tc>
      </w:tr>
    </w:tbl>
    <w:p>
      <w:pPr>
        <w:pStyle w:val="BodyText"/>
        <w:bidi w:val="0"/>
        <w:jc w:val="center"/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33"/>
          <w:lang w:val="ru-RU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33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lang w:val="ru-RU"/>
        </w:rPr>
      </w:pPr>
      <w:r>
        <w:rPr>
          <w:rFonts w:ascii="Times New Roman" w:hAnsi="Times New Roman"/>
          <w:b/>
          <w:bCs/>
          <w:lang w:val="ru-RU"/>
        </w:rPr>
        <w:t>Технические риски</w:t>
      </w:r>
    </w:p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346"/>
        <w:gridCol w:w="1762"/>
        <w:gridCol w:w="3814"/>
        <w:gridCol w:w="88"/>
        <w:gridCol w:w="60"/>
      </w:tblGrid>
      <w:tr>
        <w:trPr>
          <w:tblHeader w:val="true"/>
        </w:trPr>
        <w:tc>
          <w:tcPr>
            <w:tcW w:w="3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Риск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Вероятность</w:t>
            </w:r>
          </w:p>
        </w:tc>
        <w:tc>
          <w:tcPr>
            <w:tcW w:w="3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Способы минимизации</w:t>
            </w:r>
          </w:p>
        </w:tc>
        <w:tc>
          <w:tcPr>
            <w:tcW w:w="88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7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" w:type="dxa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7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Полное внутреннее отражение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 при θi​&gt;θкрит​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4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1584325"/>
                      <wp:effectExtent l="0" t="0" r="0" b="0"/>
                      <wp:wrapNone/>
                      <wp:docPr id="3" name="Врезка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158432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14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θi&gt;θкрит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124.7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θi&gt;θкрит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Средняя (если n1​&gt;n2​)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5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980440"/>
                      <wp:effectExtent l="0" t="0" r="0" b="0"/>
                      <wp:wrapNone/>
                      <wp:docPr id="4" name="Врезка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98044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14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n1&gt;n2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77.2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n1&gt;n2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Отдельная обработка: kTx​ становится мнимым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6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577850"/>
                      <wp:effectExtent l="0" t="0" r="0" b="0"/>
                      <wp:wrapNone/>
                      <wp:docPr id="5" name="Врезка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57785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14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kTx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45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kTx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r>
          </w:p>
        </w:tc>
        <w:tc>
          <w:tcPr>
            <w:tcW w:w="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r>
          </w:p>
        </w:tc>
      </w:tr>
      <w:tr>
        <w:trPr/>
        <w:tc>
          <w:tcPr>
            <w:tcW w:w="3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Численная нестабильность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 при θi​→90∘</w:t>
            </w:r>
            <w:r>
              <mc:AlternateContent>
                <mc:Choice Requires="wps">
                  <w:drawing>
                    <wp:anchor behindDoc="0" distT="0" distB="0" distL="0" distR="0" simplePos="0" locked="0" layoutInCell="0" allowOverlap="1" relativeHeight="7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635</wp:posOffset>
                      </wp:positionV>
                      <wp:extent cx="14605" cy="1181735"/>
                      <wp:effectExtent l="0" t="0" r="0" b="0"/>
                      <wp:wrapNone/>
                      <wp:docPr id="6" name="Врезка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5" cy="118173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BodyText"/>
                                    <w:bidi w:val="0"/>
                                    <w:spacing w:before="0" w:after="14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  <w:t>θi→90∘</w:t>
                                  </w:r>
                                </w:p>
                              </w:txbxContent>
                            </wps:txbx>
                            <wps:bodyPr anchor="t" lIns="0" tIns="0" rIns="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style="position:absolute;rotation:-0;width:1.15pt;height:93.0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      <v:textbox inset="0in,0in,0in,0in"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θi→90∘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Низкая</w:t>
            </w:r>
          </w:p>
        </w:tc>
        <w:tc>
          <w:tcPr>
            <w:tcW w:w="3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Использование ограничений на входные углы</w:t>
            </w:r>
          </w:p>
        </w:tc>
        <w:tc>
          <w:tcPr>
            <w:tcW w:w="148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7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Деление на ноль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 в формулах Френеля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Очень низкая</w:t>
            </w:r>
          </w:p>
        </w:tc>
        <w:tc>
          <w:tcPr>
            <w:tcW w:w="3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Проверка знаменателя перед вычислением</w:t>
            </w:r>
          </w:p>
        </w:tc>
        <w:tc>
          <w:tcPr>
            <w:tcW w:w="148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7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Выбор знака у kTx​</w:t>
            </w:r>
          </w:p>
        </w:tc>
        <w:tc>
          <w:tcPr>
            <w:tcW w:w="176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tLeast" w:line="375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Низкая</w:t>
            </w:r>
          </w:p>
        </w:tc>
        <w:tc>
          <w:tcPr>
            <w:tcW w:w="38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bidi w:val="0"/>
              <w:spacing w:lineRule="auto" w:line="288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4"/>
                <w:szCs w:val="24"/>
              </w:rPr>
              <w:t>Физическое условие: волна уходит от границы → kTx​&lt;0</w:t>
            </w:r>
          </w:p>
        </w:tc>
        <w:tc>
          <w:tcPr>
            <w:tcW w:w="148" w:type="dxa"/>
            <w:gridSpan w:val="2"/>
            <w:tcBorders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Style17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quote-cjk-patch">
    <w:altName w:val="Inter"/>
    <w:charset w:val="cc" w:characterSet="windows-125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LibreOffice/24.2.3.2$Windows_X86_64 LibreOffice_project/433d9c2ded56988e8a90e6b2e771ee4e6a5ab2ba</Application>
  <AppVersion>15.0000</AppVersion>
  <Pages>6</Pages>
  <Words>807</Words>
  <Characters>5477</Characters>
  <CharactersWithSpaces>6208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2026-05-04T23:12:20Z</dcterms:created>
  <dc:creator/>
  <dc:description/>
  <dc:language>ru-RU</dc:language>
  <cp:lastModifiedBy/>
  <dcterms:modified xsi:type="dcterms:W3CDTF">2026-05-05T01:15:43Z</dcterms:modified>
  <cp:revision>5</cp:revision>
  <dc:subject/>
  <dc:title/>
</cp:coreProperties>
</file>