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 xml:space="preserve">ISPOSAL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 xml:space="preserve">MT</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 xml:space="preserve">A001</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ascii="Cambria" w:hAnsi="Cambria" w:eastAsia="Times New Roman" w:cs="Times New Roman"/>
          <w:b/>
          <w:bCs/>
          <w:color w:val="000000"/>
          <w:sz w:val="24"/>
          <w:szCs w:val="24"/>
          <w:highlight w:val="red"/>
          <w:lang w:bidi="hi-IN"/>
        </w:rPr>
        <w:t>01</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ascii="Cambria" w:hAnsi="Cambria" w:eastAsia="Times New Roman" w:cs="Times New Roman"/>
          <w:b/>
          <w:bCs/>
          <w:color w:val="000000"/>
          <w:sz w:val="24"/>
          <w:szCs w:val="24"/>
          <w:highlight w:val="red"/>
          <w:lang w:bidi="hi-IN"/>
        </w:rPr>
        <w:t>APRIL</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b/>
          <w:bCs/>
          <w:color w:val="000000"/>
          <w:sz w:val="24"/>
          <w:szCs w:val="24"/>
          <w:highlight w:val="red"/>
          <w:lang w:bidi="hi-IN"/>
        </w:rPr>
        <w:t>2025</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Mr kjhkjfsdf Bansdflsnksdfjsal</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 xml:space="preserve">Sunrise HospitalKrishna Gali, Mathura</w:t>
      </w:r>
      <w:r>
        <w:rPr>
          <w:rFonts w:ascii="Cambria" w:hAnsi="Cambria"/>
          <w:b/>
          <w:bCs/>
          <w:color w:val="000000"/>
          <w:lang w:bidi="hi-IN"/>
        </w:rPr>
        <w:t xml:space="preserve"> - </w:t>
      </w:r>
      <w:r>
        <w:rPr>
          <w:rFonts w:hint="default" w:ascii="Cambria" w:hAnsi="Cambria"/>
          <w:b/>
          <w:bCs/>
          <w:color w:val="000000"/>
          <w:lang w:val="en-US" w:bidi="hi-IN"/>
        </w:rPr>
        <w:t xml:space="preserve">Mathura</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Dr. S. Sharma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1</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 xml:space="preserve">100</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 xml:space="preserve">5000</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ascii="Cambria" w:hAnsi="Cambria" w:eastAsia="Times New Roman" w:cs="Times New Roman"/>
          <w:b/>
          <w:bCs/>
          <w:color w:val="000000"/>
          <w:sz w:val="24"/>
          <w:szCs w:val="24"/>
          <w:highlight w:val="red"/>
          <w:lang w:bidi="hi-IN"/>
        </w:rPr>
        <w:t>TWO THOUSAND TWO HUNDRED</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ascii="Cambria" w:hAnsi="Cambria" w:eastAsia="Times New Roman" w:cs="Times New Roman"/>
          <w:b/>
          <w:bCs/>
          <w:color w:val="000000"/>
          <w:sz w:val="24"/>
          <w:szCs w:val="24"/>
          <w:highlight w:val="red"/>
          <w:lang w:bidi="hi-IN"/>
        </w:rPr>
        <w:t>01-04-2025</w:t>
      </w:r>
      <w:r>
        <w:rPr>
          <w:rFonts w:ascii="Cambria" w:hAnsi="Cambria" w:eastAsia="Times New Roman" w:cs="Times New Roman"/>
          <w:b/>
          <w:bCs/>
          <w:color w:val="000000"/>
          <w:sz w:val="24"/>
          <w:szCs w:val="24"/>
          <w:lang w:bidi="hi-IN"/>
        </w:rPr>
        <w:t xml:space="preserve"> and terminating on </w:t>
      </w:r>
      <w:r>
        <w:rPr>
          <w:rFonts w:ascii="Cambria" w:hAnsi="Cambria" w:eastAsia="Times New Roman" w:cs="Times New Roman"/>
          <w:b/>
          <w:bCs/>
          <w:color w:val="000000"/>
          <w:sz w:val="24"/>
          <w:szCs w:val="24"/>
          <w:highlight w:val="red"/>
          <w:lang w:bidi="hi-IN"/>
        </w:rPr>
        <w:t>31-03-2026</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 xml:space="preserve">Dr. S. Sharma</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 xml:space="preserve">Sunrise Hospital</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 xml:space="preserve">Facility Address: </w:t>
      </w:r>
      <w:r>
        <w:rPr>
          <w:rFonts w:hint="default" w:asciiTheme="majorHAnsi" w:hAnsiTheme="majorHAnsi"/>
          <w:b/>
          <w:sz w:val="24"/>
          <w:szCs w:val="24"/>
          <w:lang w:val="en-US"/>
        </w:rPr>
        <w:t xml:space="preserve">Krishna Gali, Mathura</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 xml:space="preserve">undefined</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 xml:space="preserve">9998887770</w:t>
      </w:r>
      <w:bookmarkStart w:id="0" w:name="_GoBack"/>
      <w:bookmarkEnd w:id="0"/>
      <w:r>
        <w:rPr>
          <w:rFonts w:hint="default" w:asciiTheme="majorHAnsi" w:hAnsiTheme="majorHAnsi"/>
          <w:b/>
          <w:sz w:val="24"/>
          <w:szCs w:val="24"/>
          <w:lang w:val="en-US"/>
        </w:rPr>
        <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ascii="Cambria" w:hAnsi="Cambria" w:eastAsia="Times New Roman" w:cs="Times New Roman"/>
          <w:b/>
          <w:bCs/>
          <w:color w:val="000000"/>
          <w:sz w:val="24"/>
          <w:szCs w:val="24"/>
          <w:highlight w:val="red"/>
          <w:lang w:bidi="hi-IN"/>
        </w:rPr>
        <w:t>01 MONTH 04 AND YEAR 2025</w:t>
      </w:r>
      <w:r>
        <w:rPr>
          <w:rFonts w:ascii="Cambria" w:hAnsi="Cambria" w:eastAsia="Times New Roman" w:cs="Times New Roman"/>
          <w:b/>
          <w:bCs/>
          <w:color w:val="000000"/>
          <w:sz w:val="24"/>
          <w:szCs w:val="24"/>
          <w:lang w:bidi="hi-IN"/>
        </w:rPr>
        <w:t xml:space="preserve"> 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20"/>
  <w:characterSpacingControl w:val="doNotCompress"/>
  <w:hdrShapeDefaults>
    <o:shapelayout v:ext="edit">
      <o:idmap v:ext="edit" data="5"/>
    </o:shapelayout>
  </w:hdrShapeDefaults>
  <w:footnotePr>
    <w:footnote w:id="0"/>
    <w:footnote w:id="1"/>
  </w:footnotePr>
  <w:endnotePr>
    <w:endnote w:id="0"/>
    <w:endnote w:id="1"/>
  </w:endnotePr>
  <w:compat>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47526FEB"/>
    <w:rsid w:val="53161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62</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2025-06-06T09:46:11Z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