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FFF" w:val="clear"/>
        <w:spacing w:after="120" w:before="1800"/>
        <w:jc w:val="center"/>
      </w:pPr>
      <w:r>
        <w:rPr>
          <w:rFonts w:ascii="Arial" w:cs="Arial" w:eastAsia="Arial" w:hAnsi="Arial"/>
          <w:b/>
          <w:bCs/>
          <w:color w:val="B5006E"/>
          <w:sz w:val="80"/>
          <w:szCs w:val="80"/>
        </w:rPr>
        <w:t xml:space="preserve">PINK PAPER</w:t>
      </w:r>
    </w:p>
    <w:p>
      <w:pPr>
        <w:spacing w:after="240" w:before="0"/>
        <w:jc w:val="center"/>
      </w:pPr>
      <w:r>
        <w:rPr>
          <w:rFonts w:ascii="Arial" w:cs="Arial" w:eastAsia="Arial" w:hAnsi="Arial"/>
          <w:i/>
          <w:iCs/>
          <w:color w:val="D81B87"/>
          <w:sz w:val="32"/>
          <w:szCs w:val="32"/>
        </w:rPr>
        <w:t xml:space="preserve">A Formal Technical Specification</w:t>
      </w:r>
    </w:p>
    <w:p>
      <w:pPr>
        <w:pBdr>
          <w:bottom w:val="single" w:color="D81B87" w:sz="6" w:space="1"/>
        </w:pBdr>
        <w:spacing w:after="120" w:before="120"/>
      </w:pPr>
      <w:r>
        <w:t xml:space="preserve"/>
      </w:r>
    </w:p>
    <w:p>
      <w:pPr>
        <w:spacing w:after="160" w:before="320"/>
        <w:jc w:val="center"/>
      </w:pPr>
      <w:r>
        <w:rPr>
          <w:rFonts w:ascii="Arial" w:cs="Arial" w:eastAsia="Arial" w:hAnsi="Arial"/>
          <w:b/>
          <w:bCs/>
          <w:color w:val="1A1A1A"/>
          <w:sz w:val="48"/>
          <w:szCs w:val="48"/>
        </w:rPr>
        <w:t xml:space="preserve">ISA Fabric + Genesis Governance</w:t>
      </w:r>
    </w:p>
    <w:p>
      <w:pPr>
        <w:spacing w:after="80" w:before="0"/>
        <w:jc w:val="center"/>
      </w:pPr>
      <w:r>
        <w:rPr>
          <w:rFonts w:ascii="Arial" w:cs="Arial" w:eastAsia="Arial" w:hAnsi="Arial"/>
          <w:b/>
          <w:bCs/>
          <w:color w:val="D81B87"/>
          <w:sz w:val="36"/>
          <w:szCs w:val="36"/>
        </w:rPr>
        <w:t xml:space="preserve">Version 6.1.1</w:t>
      </w:r>
    </w:p>
    <w:p>
      <w:pPr>
        <w:spacing w:after="560" w:before="0"/>
        <w:jc w:val="center"/>
      </w:pPr>
      <w:r>
        <w:rPr>
          <w:rFonts w:ascii="Arial" w:cs="Arial" w:eastAsia="Arial" w:hAnsi="Arial"/>
          <w:i/>
          <w:iCs/>
          <w:color w:val="666666"/>
          <w:sz w:val="24"/>
          <w:szCs w:val="24"/>
        </w:rPr>
        <w:t xml:space="preserve">Volumes I–VIII • Encompassing Σ(t), Σ_society(t), and the Constitutional Governance Substrate</w:t>
      </w:r>
    </w:p>
    <w:p>
      <w:pPr>
        <w:pBdr>
          <w:bottom w:val="single" w:color="D81B87" w:sz="6" w:space="1"/>
        </w:pBdr>
        <w:spacing w:after="120" w:before="120"/>
      </w:pPr>
      <w:r>
        <w:t xml:space="preserve"/>
      </w:r>
    </w:p>
    <w:p>
      <w:pPr>
        <w:spacing w:after="80" w:before="240"/>
        <w:jc w:val="center"/>
      </w:pPr>
      <w:r>
        <w:rPr>
          <w:rFonts w:ascii="Arial" w:cs="Arial" w:eastAsia="Arial" w:hAnsi="Arial"/>
          <w:color w:val="3E3E3E"/>
          <w:sz w:val="24"/>
          <w:szCs w:val="24"/>
        </w:rPr>
        <w:t xml:space="preserve">June 2026</w:t>
      </w:r>
    </w:p>
    <w:p>
      <w:pPr>
        <w:spacing w:after="1200" w:before="0"/>
        <w:jc w:val="center"/>
      </w:pPr>
      <w:r>
        <w:rPr>
          <w:rFonts w:ascii="Arial" w:cs="Arial" w:eastAsia="Arial" w:hAnsi="Arial"/>
          <w:i/>
          <w:iCs/>
          <w:color w:val="3E3E3E"/>
          <w:sz w:val="22"/>
          <w:szCs w:val="22"/>
        </w:rPr>
        <w:t xml:space="preserve">Mathematics Under Law — ISA Fabric Consortium</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Abstract</w:t>
      </w:r>
    </w:p>
    <w:p>
      <w:pPr>
        <w:spacing w:after="120" w:before="80" w:line="276" w:lineRule="auto"/>
        <w:jc w:val="both"/>
      </w:pPr>
      <w:r>
        <w:rPr>
          <w:rFonts w:ascii="Arial" w:cs="Arial" w:eastAsia="Arial" w:hAnsi="Arial"/>
          <w:color w:val="1A1A1A"/>
          <w:sz w:val="22"/>
          <w:szCs w:val="22"/>
        </w:rPr>
        <w:t xml:space="preserve">This Pink Paper is the canonical technical specification for ISA Fabric + Genesis Governance v6.1.1 — a formally verified, mathematically grounded constitutional governance substrate designed to govern complex societal systems as governed dynamical systems. It consolidates and unifies the formal definitions, architectural components, invariant structures, failure mode taxonomy, and operational tools developed across Volumes I through VIII of the Mathematics Under Law series.</w:t>
      </w:r>
    </w:p>
    <w:p>
      <w:pPr>
        <w:spacing w:after="120" w:before="80" w:line="276" w:lineRule="auto"/>
        <w:jc w:val="both"/>
      </w:pPr>
      <w:r>
        <w:rPr>
          <w:rFonts w:ascii="Arial" w:cs="Arial" w:eastAsia="Arial" w:hAnsi="Arial"/>
          <w:color w:val="1A1A1A"/>
          <w:sz w:val="22"/>
          <w:szCs w:val="22"/>
        </w:rPr>
        <w:t xml:space="preserve">ISA Fabric provides the first governance architecture in history that treats civilization's constitutional health as a mathematically precise, Lyapunov-stable, tensor-propagated, and cryptographically committed dynamical system. At its core lies the societal manifold Σ_society(t) — a 72-domain state vector representing the real-time constitutional health of civilization, governed by the 72×72×5 Influence Tensor Τ, and enforced by the Jurisdictional Governance Enforcement System (JGES).</w:t>
      </w:r>
    </w:p>
    <w:p>
      <w:pPr>
        <w:spacing w:after="120" w:before="80" w:line="276" w:lineRule="auto"/>
        <w:jc w:val="both"/>
      </w:pPr>
      <w:r>
        <w:rPr>
          <w:rFonts w:ascii="Arial" w:cs="Arial" w:eastAsia="Arial" w:hAnsi="Arial"/>
          <w:color w:val="1A1A1A"/>
          <w:sz w:val="22"/>
          <w:szCs w:val="22"/>
        </w:rPr>
        <w:t xml:space="preserve">The architecture encompasses: (1) the Societal Data Registry Server (SDRS) for multi-cadence data ingestion and PCSF validation; (2) the Block Lineage Verification Database (BLVDB) for cryptographically committed forensic lineage; (3) the Triptych Memory Substrate (Mens / Corpus / Anima) for constitutional cognition; (4) the JGES for deterministic, proof-carrying enforcement; (5) the Failure Mode Taxonomy v2.0, a Triptych-aligned ontology of constitutional failures; and (6) a suite of operational tools including the Failure Mode Early Warning System, the CUAP Simulation Engine, the Reverse Engineering Failure Modes engine, and the ZK-Verified Public Health Dashboard.</w:t>
      </w:r>
    </w:p>
    <w:p>
      <w:pPr>
        <w:spacing w:after="120" w:before="80" w:line="276" w:lineRule="auto"/>
        <w:jc w:val="both"/>
      </w:pPr>
      <w:r>
        <w:rPr>
          <w:rFonts w:ascii="Arial" w:cs="Arial" w:eastAsia="Arial" w:hAnsi="Arial"/>
          <w:color w:val="1A1A1A"/>
          <w:sz w:val="22"/>
          <w:szCs w:val="22"/>
        </w:rPr>
        <w:t xml:space="preserve">This document is intended for governance architects, constitutional engineers, formal methods researchers, and policymakers engaged in the design, deployment, and oversight of mathematically grounded constitutional governance systems.</w:t>
      </w:r>
    </w:p>
    <w:p>
      <w:r>
        <w:br w:type="page"/>
      </w:r>
    </w:p>
    <w:p>
      <w:pPr>
        <w:sectPr>
          <w:pgSz w:w="12240" w:h="15840" w:orient="portrait"/>
          <w:pgMar w:top="1440" w:right="1440" w:bottom="1440" w:left="1440" w:header="708" w:footer="708" w:gutter="0"/>
          <w:pgNumType/>
          <w:titlePg w:val="false"/>
          <w:docGrid w:linePitch="360"/>
        </w:sectPr>
      </w:pPr>
    </w:p>
    <w:p>
      <w:pPr>
        <w:pStyle w:val="Heading1"/>
        <w:pBdr>
          <w:bottom w:val="single" w:color="B5006E" w:sz="8" w:space="4"/>
        </w:pBdr>
        <w:spacing w:after="180" w:before="480"/>
      </w:pPr>
      <w:r>
        <w:rPr>
          <w:rFonts w:ascii="Arial" w:cs="Arial" w:eastAsia="Arial" w:hAnsi="Arial"/>
          <w:b/>
          <w:bCs/>
          <w:color w:val="B5006E"/>
          <w:sz w:val="40"/>
          <w:szCs w:val="40"/>
        </w:rPr>
        <w:t xml:space="preserve">Chapter 1: Introduction</w:t>
      </w:r>
    </w:p>
    <w:p>
      <w:pPr>
        <w:pStyle w:val="Heading2"/>
        <w:spacing w:after="160" w:before="360"/>
      </w:pPr>
      <w:r>
        <w:rPr>
          <w:rFonts w:ascii="Arial" w:cs="Arial" w:eastAsia="Arial" w:hAnsi="Arial"/>
          <w:b/>
          <w:bCs/>
          <w:color w:val="D81B87"/>
          <w:sz w:val="32"/>
          <w:szCs w:val="32"/>
        </w:rPr>
        <w:t xml:space="preserve">1.1 Background and Motivation</w:t>
      </w:r>
    </w:p>
    <w:p>
      <w:pPr>
        <w:spacing w:after="120" w:before="80" w:line="276" w:lineRule="auto"/>
        <w:jc w:val="both"/>
      </w:pPr>
      <w:r>
        <w:rPr>
          <w:rFonts w:ascii="Arial" w:cs="Arial" w:eastAsia="Arial" w:hAnsi="Arial"/>
          <w:color w:val="1A1A1A"/>
          <w:sz w:val="22"/>
          <w:szCs w:val="22"/>
        </w:rPr>
        <w:t xml:space="preserve">Constitutional governance systems have historically operated as informal, interpretive, and institution-dependent structures. While legal theory, political science, and systems theory have produced rich qualitative frameworks, none has succeeded in providing a formal, computable, and mathematically verifiable substrate for governance. ISA Fabric addresses this foundational gap.</w:t>
      </w:r>
    </w:p>
    <w:p>
      <w:pPr>
        <w:spacing w:after="120" w:before="80" w:line="276" w:lineRule="auto"/>
        <w:jc w:val="both"/>
      </w:pPr>
      <w:r>
        <w:rPr>
          <w:rFonts w:ascii="Arial" w:cs="Arial" w:eastAsia="Arial" w:hAnsi="Arial"/>
          <w:color w:val="1A1A1A"/>
          <w:sz w:val="22"/>
          <w:szCs w:val="22"/>
        </w:rPr>
        <w:t xml:space="preserve">The central insight of ISA Fabric is that governance — at any scale, from a single organization to civilization itself — can be expressed as a governed dynamical system: a system whose state evolves according to formally specified laws, whose invariants are machine-verifiable, whose failures are detectable before they manifest, and whose enforcement is deterministic and proof-carrying.</w:t>
      </w:r>
    </w:p>
    <w:p>
      <w:pPr>
        <w:pStyle w:val="Heading2"/>
        <w:spacing w:after="160" w:before="360"/>
      </w:pPr>
      <w:r>
        <w:rPr>
          <w:rFonts w:ascii="Arial" w:cs="Arial" w:eastAsia="Arial" w:hAnsi="Arial"/>
          <w:b/>
          <w:bCs/>
          <w:color w:val="D81B87"/>
          <w:sz w:val="32"/>
          <w:szCs w:val="32"/>
        </w:rPr>
        <w:t xml:space="preserve">1.2 The ISA Fabric Architecture</w:t>
      </w:r>
    </w:p>
    <w:p>
      <w:pPr>
        <w:spacing w:after="120" w:before="80" w:line="276" w:lineRule="auto"/>
        <w:jc w:val="both"/>
      </w:pPr>
      <w:r>
        <w:rPr>
          <w:rFonts w:ascii="Arial" w:cs="Arial" w:eastAsia="Arial" w:hAnsi="Arial"/>
          <w:color w:val="1A1A1A"/>
          <w:sz w:val="22"/>
          <w:szCs w:val="22"/>
        </w:rPr>
        <w:t xml:space="preserve">ISA Fabric is a multi-layer constitutional governance architecture. It consists of a constitutional layer (Genesis Governance v6.1.1), a mathematical layer (Σ(t) and Σ_society(t)), an enforcement layer (JGES, PCSF, MPAB), a data layer (SDR, SDRS), a lineage layer (BLVDB), a cognitive layer (Triptych), and a verification layer (Lean 4 proof bundles with zero-knowledge exportability).</w:t>
      </w:r>
    </w:p>
    <w:p>
      <w:pPr>
        <w:spacing w:after="120" w:before="80" w:line="276" w:lineRule="auto"/>
        <w:jc w:val="both"/>
      </w:pPr>
      <w:r>
        <w:rPr>
          <w:rFonts w:ascii="Arial" w:cs="Arial" w:eastAsia="Arial" w:hAnsi="Arial"/>
          <w:color w:val="1A1A1A"/>
          <w:sz w:val="22"/>
          <w:szCs w:val="22"/>
        </w:rPr>
        <w:t xml:space="preserve">Each layer is formally specified, sealed against arbitrary modification, and connected to the others through defined interfaces. The result is a governance system that is simultaneously: mathematically precise, constitutionally bounded, operationally realizable, forensically auditable, and publicly verifiable without disclosure of sensitive data.</w:t>
      </w:r>
    </w:p>
    <w:p>
      <w:pPr>
        <w:pStyle w:val="Heading2"/>
        <w:spacing w:after="160" w:before="360"/>
      </w:pPr>
      <w:r>
        <w:rPr>
          <w:rFonts w:ascii="Arial" w:cs="Arial" w:eastAsia="Arial" w:hAnsi="Arial"/>
          <w:b/>
          <w:bCs/>
          <w:color w:val="D81B87"/>
          <w:sz w:val="32"/>
          <w:szCs w:val="32"/>
        </w:rPr>
        <w:t xml:space="preserve">1.3 Genesis Governance v6.1.1</w:t>
      </w:r>
    </w:p>
    <w:p>
      <w:pPr>
        <w:spacing w:after="120" w:before="80" w:line="276" w:lineRule="auto"/>
        <w:jc w:val="both"/>
      </w:pPr>
      <w:r>
        <w:rPr>
          <w:rFonts w:ascii="Arial" w:cs="Arial" w:eastAsia="Arial" w:hAnsi="Arial"/>
          <w:color w:val="1A1A1A"/>
          <w:sz w:val="22"/>
          <w:szCs w:val="22"/>
        </w:rPr>
        <w:t xml:space="preserve">Genesis Governance v6.1.1 is the sealed constitutional corpus that defines the legal and mathematical substrate of ISA Fabric. It specifies: all sealed definitions, constitutional invariants, doctrinal structures, enforcement physiology, tensor constraints, PCSF rules, and the Constitutional Upgrade and Archive Protocol (CUAP). Nothing within the system may modify these sealed definitions except through a lawful CUAP action.</w:t>
      </w:r>
    </w:p>
    <w:p>
      <w:pPr>
        <w:pStyle w:val="Heading2"/>
        <w:spacing w:after="160" w:before="360"/>
      </w:pPr>
      <w:r>
        <w:rPr>
          <w:rFonts w:ascii="Arial" w:cs="Arial" w:eastAsia="Arial" w:hAnsi="Arial"/>
          <w:b/>
          <w:bCs/>
          <w:color w:val="D81B87"/>
          <w:sz w:val="32"/>
          <w:szCs w:val="32"/>
        </w:rPr>
        <w:t xml:space="preserve">1.4 Scope of This Document</w:t>
      </w:r>
    </w:p>
    <w:p>
      <w:pPr>
        <w:spacing w:after="120" w:before="80" w:line="276" w:lineRule="auto"/>
        <w:jc w:val="both"/>
      </w:pPr>
      <w:r>
        <w:rPr>
          <w:rFonts w:ascii="Arial" w:cs="Arial" w:eastAsia="Arial" w:hAnsi="Arial"/>
          <w:color w:val="1A1A1A"/>
          <w:sz w:val="22"/>
          <w:szCs w:val="22"/>
        </w:rPr>
        <w:t xml:space="preserve">This Pink Paper covers the full technical specification of ISA Fabric + Genesis Governance v6.1.1, integrating content from Volumes I through VIII of the Mathematics Under Law series. It proceeds from foundational mathematics through architectural components, failure mode taxonomy, and the operational tool suite.</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2: Mathematical Foundations</w:t>
      </w:r>
    </w:p>
    <w:p>
      <w:pPr>
        <w:pStyle w:val="Heading2"/>
        <w:spacing w:after="160" w:before="360"/>
      </w:pPr>
      <w:r>
        <w:rPr>
          <w:rFonts w:ascii="Arial" w:cs="Arial" w:eastAsia="Arial" w:hAnsi="Arial"/>
          <w:b/>
          <w:bCs/>
          <w:color w:val="D81B87"/>
          <w:sz w:val="32"/>
          <w:szCs w:val="32"/>
        </w:rPr>
        <w:t xml:space="preserve">2.1 The Constitutional State Σ(t)</w:t>
      </w:r>
    </w:p>
    <w:p>
      <w:pPr>
        <w:spacing w:after="120" w:before="80" w:line="276" w:lineRule="auto"/>
        <w:jc w:val="both"/>
      </w:pPr>
      <w:r>
        <w:rPr>
          <w:rFonts w:ascii="Arial" w:cs="Arial" w:eastAsia="Arial" w:hAnsi="Arial"/>
          <w:color w:val="1A1A1A"/>
          <w:sz w:val="22"/>
          <w:szCs w:val="22"/>
        </w:rPr>
        <w:t xml:space="preserve">The constitutional state Σ(t) is the full internal state of the ISA Fabric governance system at time t. It is the object from which all operational projections — including Σ_society(t) — are derived. Σ(t) encodes all domain values, hysteresis state, curvature-phase information, envelope classifications, and lineage commitments.</w:t>
      </w:r>
    </w:p>
    <w:p>
      <w:pPr>
        <w:pStyle w:val="Heading2"/>
        <w:spacing w:after="160" w:before="360"/>
      </w:pPr>
      <w:r>
        <w:rPr>
          <w:rFonts w:ascii="Arial" w:cs="Arial" w:eastAsia="Arial" w:hAnsi="Arial"/>
          <w:b/>
          <w:bCs/>
          <w:color w:val="D81B87"/>
          <w:sz w:val="32"/>
          <w:szCs w:val="32"/>
        </w:rPr>
        <w:t xml:space="preserve">2.2 The Constitutional Attractor Σ*</w:t>
      </w:r>
    </w:p>
    <w:p>
      <w:pPr>
        <w:spacing w:after="120" w:before="80" w:line="276" w:lineRule="auto"/>
        <w:jc w:val="both"/>
      </w:pPr>
      <w:r>
        <w:rPr>
          <w:rFonts w:ascii="Arial" w:cs="Arial" w:eastAsia="Arial" w:hAnsi="Arial"/>
          <w:color w:val="1A1A1A"/>
          <w:sz w:val="22"/>
          <w:szCs w:val="22"/>
        </w:rPr>
        <w:t xml:space="preserve">The constitutional attractor Σ* is the sealed equilibrium state toward which all lawful trajectories converge. It represents the ideal constitutional order — a fully GREEN, envelope-compliant, Lyapunov-minimal state with zero destabilizing ψ-mode pressure. All enforcement actions within JGES are oriented toward restoring or maintaining the trajectory toward Σ*.</w:t>
      </w:r>
    </w:p>
    <w:p>
      <w:pPr>
        <w:pStyle w:val="Heading2"/>
        <w:spacing w:after="160" w:before="360"/>
      </w:pPr>
      <w:r>
        <w:rPr>
          <w:rFonts w:ascii="Arial" w:cs="Arial" w:eastAsia="Arial" w:hAnsi="Arial"/>
          <w:b/>
          <w:bCs/>
          <w:color w:val="D81B87"/>
          <w:sz w:val="32"/>
          <w:szCs w:val="32"/>
        </w:rPr>
        <w:t xml:space="preserve">2.3 The Lyapunov Functional V</w:t>
      </w:r>
    </w:p>
    <w:p>
      <w:pPr>
        <w:spacing w:after="120" w:before="80" w:line="276" w:lineRule="auto"/>
        <w:jc w:val="both"/>
      </w:pPr>
      <w:r>
        <w:rPr>
          <w:rFonts w:ascii="Arial" w:cs="Arial" w:eastAsia="Arial" w:hAnsi="Arial"/>
          <w:color w:val="1A1A1A"/>
          <w:sz w:val="22"/>
          <w:szCs w:val="22"/>
        </w:rPr>
        <w:t xml:space="preserve">The Lyapunov Functional V measures the constitutional distance of Σ(t) from the attractor Σ*. Formally, V: Σ → ℝ≥₀ is a positive-definite function satisfying:</w:t>
      </w:r>
    </w:p>
    <w:p>
      <w:pPr>
        <w:shd w:fill="F5F5F5" w:val="clear"/>
        <w:spacing w:after="160" w:before="160"/>
        <w:jc w:val="center"/>
      </w:pPr>
      <w:r>
        <w:rPr>
          <w:rFonts w:ascii="Courier New" w:cs="Courier New" w:eastAsia="Courier New" w:hAnsi="Courier New"/>
          <w:b/>
          <w:bCs/>
          <w:color w:val="B5006E"/>
          <w:sz w:val="22"/>
          <w:szCs w:val="22"/>
        </w:rPr>
        <w:t xml:space="preserve">V(Σ*) = 0      and      V(Σ(t)) &gt; 0   for all   Σ(t) ≠ Σ*</w:t>
      </w:r>
    </w:p>
    <w:p>
      <w:pPr>
        <w:spacing w:after="120" w:before="80" w:line="276" w:lineRule="auto"/>
        <w:jc w:val="both"/>
      </w:pPr>
      <w:r>
        <w:rPr>
          <w:rFonts w:ascii="Arial" w:cs="Arial" w:eastAsia="Arial" w:hAnsi="Arial"/>
          <w:color w:val="1A1A1A"/>
          <w:sz w:val="22"/>
          <w:szCs w:val="22"/>
        </w:rPr>
        <w:t xml:space="preserve">The Lyapunov Functional serves as the constitutional metric for stability analysis, drift detection, and early warning computation.</w:t>
      </w:r>
    </w:p>
    <w:p>
      <w:pPr>
        <w:pStyle w:val="Heading2"/>
        <w:spacing w:after="160" w:before="360"/>
      </w:pPr>
      <w:r>
        <w:rPr>
          <w:rFonts w:ascii="Arial" w:cs="Arial" w:eastAsia="Arial" w:hAnsi="Arial"/>
          <w:b/>
          <w:bCs/>
          <w:color w:val="D81B87"/>
          <w:sz w:val="32"/>
          <w:szCs w:val="32"/>
        </w:rPr>
        <w:t xml:space="preserve">2.4 Uniform Contraction Doctrine (UCD)</w:t>
      </w:r>
    </w:p>
    <w:p>
      <w:pPr>
        <w:spacing w:after="120" w:before="80" w:line="276" w:lineRule="auto"/>
        <w:jc w:val="both"/>
      </w:pPr>
      <w:r>
        <w:rPr>
          <w:rFonts w:ascii="Arial" w:cs="Arial" w:eastAsia="Arial" w:hAnsi="Arial"/>
          <w:color w:val="1A1A1A"/>
          <w:sz w:val="22"/>
          <w:szCs w:val="22"/>
        </w:rPr>
        <w:t xml:space="preserve">The Uniform Contraction Doctrine (UCD) is the central stability theorem of ISA Fabric. It states that V contracts by a factor of (1 − ε)² at each lawful transition step:</w:t>
      </w:r>
    </w:p>
    <w:p>
      <w:pPr>
        <w:shd w:fill="F5F5F5" w:val="clear"/>
        <w:spacing w:after="160" w:before="160"/>
        <w:jc w:val="center"/>
      </w:pPr>
      <w:r>
        <w:rPr>
          <w:rFonts w:ascii="Courier New" w:cs="Courier New" w:eastAsia="Courier New" w:hAnsi="Courier New"/>
          <w:b/>
          <w:bCs/>
          <w:color w:val="B5006E"/>
          <w:sz w:val="22"/>
          <w:szCs w:val="22"/>
        </w:rPr>
        <w:t xml:space="preserve">V(Σ(t+1)) ≤ (1 − ε)² · V(Σ(t))</w:t>
      </w:r>
    </w:p>
    <w:p>
      <w:pPr>
        <w:spacing w:after="120" w:before="80" w:line="276" w:lineRule="auto"/>
        <w:jc w:val="both"/>
      </w:pPr>
      <w:r>
        <w:rPr>
          <w:rFonts w:ascii="Arial" w:cs="Arial" w:eastAsia="Arial" w:hAnsi="Arial"/>
          <w:color w:val="1A1A1A"/>
          <w:sz w:val="22"/>
          <w:szCs w:val="22"/>
        </w:rPr>
        <w:t xml:space="preserve">where ε &gt; 0 is the contraction margin sealed in Genesis Governance v6.1.1. UCD guarantees that all lawful trajectories converge asymptotically to Σ*. Any transition that would violate UCD is rejected by PCSF and flagged by JGES.</w:t>
      </w:r>
    </w:p>
    <w:p>
      <w:pPr>
        <w:pStyle w:val="Heading2"/>
        <w:spacing w:after="160" w:before="360"/>
      </w:pPr>
      <w:r>
        <w:rPr>
          <w:rFonts w:ascii="Arial" w:cs="Arial" w:eastAsia="Arial" w:hAnsi="Arial"/>
          <w:b/>
          <w:bCs/>
          <w:color w:val="D81B87"/>
          <w:sz w:val="32"/>
          <w:szCs w:val="32"/>
        </w:rPr>
        <w:t xml:space="preserve">2.5 The Safe Basin B_safe</w:t>
      </w:r>
    </w:p>
    <w:p>
      <w:pPr>
        <w:spacing w:after="120" w:before="80" w:line="276" w:lineRule="auto"/>
        <w:jc w:val="both"/>
      </w:pPr>
      <w:r>
        <w:rPr>
          <w:rFonts w:ascii="Arial" w:cs="Arial" w:eastAsia="Arial" w:hAnsi="Arial"/>
          <w:color w:val="1A1A1A"/>
          <w:sz w:val="22"/>
          <w:szCs w:val="22"/>
        </w:rPr>
        <w:t xml:space="preserve">The Safe Basin B_safe is the positively invariant region of the constitutional state space defined by V(Σ) ≤ V_safe, where V_safe is a sealed threshold. The Safe Basin has the property that all trajectories starting within it remain within it under lawful dynamics. JGES is constitutionally required to maintain Σ_society(t) within B_safe at all times.</w:t>
      </w:r>
    </w:p>
    <w:p>
      <w:pPr>
        <w:pStyle w:val="Heading2"/>
        <w:spacing w:after="160" w:before="360"/>
      </w:pPr>
      <w:r>
        <w:rPr>
          <w:rFonts w:ascii="Arial" w:cs="Arial" w:eastAsia="Arial" w:hAnsi="Arial"/>
          <w:b/>
          <w:bCs/>
          <w:color w:val="D81B87"/>
          <w:sz w:val="32"/>
          <w:szCs w:val="32"/>
        </w:rPr>
        <w:t xml:space="preserve">2.6 Hysteresis: The Preisach / Bouc–Wen Hybrid Model</w:t>
      </w:r>
    </w:p>
    <w:p>
      <w:pPr>
        <w:spacing w:after="120" w:before="80" w:line="276" w:lineRule="auto"/>
        <w:jc w:val="both"/>
      </w:pPr>
      <w:r>
        <w:rPr>
          <w:rFonts w:ascii="Arial" w:cs="Arial" w:eastAsia="Arial" w:hAnsi="Arial"/>
          <w:color w:val="1A1A1A"/>
          <w:sz w:val="22"/>
          <w:szCs w:val="22"/>
        </w:rPr>
        <w:t xml:space="preserve">ISA Fabric encodes constitutional memory through a hybrid hysteresis model combining the Preisach model and the Bouc–Wen model. Hysteresis state is stored in State.z and captures path-dependent behavior: the current constitutional state is not merely a function of current inputs but of the full history of transitions.</w:t>
      </w:r>
    </w:p>
    <w:p>
      <w:pPr>
        <w:spacing w:after="120" w:before="80" w:line="276" w:lineRule="auto"/>
        <w:jc w:val="both"/>
      </w:pPr>
      <w:r>
        <w:rPr>
          <w:rFonts w:ascii="Arial" w:cs="Arial" w:eastAsia="Arial" w:hAnsi="Arial"/>
          <w:color w:val="1A1A1A"/>
          <w:sz w:val="22"/>
          <w:szCs w:val="22"/>
        </w:rPr>
        <w:t xml:space="preserve">The Memory-With-Convergence Theorem establishes that this hysteresis structure does not break UCD contraction: even with constitutional memory, all lawful trajectories converge to Σ*. The Density Floor (sealed Preisach assumption) ensures hysteresis contributes to contraction rather than destabilization.</w:t>
      </w:r>
    </w:p>
    <w:p>
      <w:pPr>
        <w:pStyle w:val="Heading2"/>
        <w:spacing w:after="160" w:before="360"/>
      </w:pPr>
      <w:r>
        <w:rPr>
          <w:rFonts w:ascii="Arial" w:cs="Arial" w:eastAsia="Arial" w:hAnsi="Arial"/>
          <w:b/>
          <w:bCs/>
          <w:color w:val="D81B87"/>
          <w:sz w:val="32"/>
          <w:szCs w:val="32"/>
        </w:rPr>
        <w:t xml:space="preserve">2.7 The Zero-Drift Condition</w:t>
      </w:r>
    </w:p>
    <w:p>
      <w:pPr>
        <w:spacing w:after="120" w:before="80" w:line="276" w:lineRule="auto"/>
        <w:jc w:val="both"/>
      </w:pPr>
      <w:r>
        <w:rPr>
          <w:rFonts w:ascii="Arial" w:cs="Arial" w:eastAsia="Arial" w:hAnsi="Arial"/>
          <w:color w:val="1A1A1A"/>
          <w:sz w:val="22"/>
          <w:szCs w:val="22"/>
        </w:rPr>
        <w:t xml:space="preserve">The Zero-Drift Condition is the special case in which Σ(t) = Σ* for all t ≥ t₀: the system remains permanently at the attractor with no drift, no envelope violations, and all domains in GREEN. This condition represents perfect constitutional health and serves as the theoretical ideal.</w:t>
      </w:r>
    </w:p>
    <w:p>
      <w:pPr>
        <w:pStyle w:val="Heading2"/>
        <w:spacing w:after="160" w:before="360"/>
      </w:pPr>
      <w:r>
        <w:rPr>
          <w:rFonts w:ascii="Arial" w:cs="Arial" w:eastAsia="Arial" w:hAnsi="Arial"/>
          <w:b/>
          <w:bCs/>
          <w:color w:val="D81B87"/>
          <w:sz w:val="32"/>
          <w:szCs w:val="32"/>
        </w:rPr>
        <w:t xml:space="preserve">2.8 The Tri-Geometric Manifold</w:t>
      </w:r>
    </w:p>
    <w:p>
      <w:pPr>
        <w:spacing w:after="120" w:before="80" w:line="276" w:lineRule="auto"/>
        <w:jc w:val="both"/>
      </w:pPr>
      <w:r>
        <w:rPr>
          <w:rFonts w:ascii="Arial" w:cs="Arial" w:eastAsia="Arial" w:hAnsi="Arial"/>
          <w:color w:val="1A1A1A"/>
          <w:sz w:val="22"/>
          <w:szCs w:val="22"/>
        </w:rPr>
        <w:t xml:space="preserve">The geometric structure of Σ_society(t) is defined over a tri-geometric manifold combining three geometric layers: (1) the Euclidean layer, representing stable, linear dynamics; (2) the hyperbolic layer, representing unstable, amplifying, drift-prone regimes; and (3) the elliptic layer, representing constrained, rigid, boundary-approaching regimes. Each domain's curvature regime is classified dynamically and used by JGES and the FMEWS to detect structural stress.</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3: Σ_society(t) — The Societal Manifold</w:t>
      </w:r>
    </w:p>
    <w:p>
      <w:pPr>
        <w:pStyle w:val="Heading2"/>
        <w:spacing w:after="160" w:before="360"/>
      </w:pPr>
      <w:r>
        <w:rPr>
          <w:rFonts w:ascii="Arial" w:cs="Arial" w:eastAsia="Arial" w:hAnsi="Arial"/>
          <w:b/>
          <w:bCs/>
          <w:color w:val="D81B87"/>
          <w:sz w:val="32"/>
          <w:szCs w:val="32"/>
        </w:rPr>
        <w:t xml:space="preserve">3.1 Definition</w:t>
      </w:r>
    </w:p>
    <w:p>
      <w:pPr>
        <w:spacing w:after="120" w:before="80" w:line="276" w:lineRule="auto"/>
        <w:jc w:val="both"/>
      </w:pPr>
      <w:r>
        <w:rPr>
          <w:rFonts w:ascii="Arial" w:cs="Arial" w:eastAsia="Arial" w:hAnsi="Arial"/>
          <w:color w:val="1A1A1A"/>
          <w:sz w:val="22"/>
          <w:szCs w:val="22"/>
        </w:rPr>
        <w:t xml:space="preserve">Σ_society(t) is the societal-scale projection of the full constitutional state Σ(t). It is a 72-dimensional governed manifold that represents the real-time constitutional health of civilization across all major societal domains. Formally:</w:t>
      </w:r>
    </w:p>
    <w:p>
      <w:pPr>
        <w:shd w:fill="F5F5F5" w:val="clear"/>
        <w:spacing w:after="160" w:before="160"/>
        <w:jc w:val="center"/>
      </w:pPr>
      <w:r>
        <w:rPr>
          <w:rFonts w:ascii="Courier New" w:cs="Courier New" w:eastAsia="Courier New" w:hAnsi="Courier New"/>
          <w:b/>
          <w:bCs/>
          <w:color w:val="B5006E"/>
          <w:sz w:val="22"/>
          <w:szCs w:val="22"/>
        </w:rPr>
        <w:t xml:space="preserve">Σ_society(t) = ( x₁(t), x₂(t), …, x₇₂(t) )</w:t>
      </w:r>
    </w:p>
    <w:p>
      <w:pPr>
        <w:spacing w:after="120" w:before="80" w:line="276" w:lineRule="auto"/>
        <w:jc w:val="both"/>
      </w:pPr>
      <w:r>
        <w:rPr>
          <w:rFonts w:ascii="Arial" w:cs="Arial" w:eastAsia="Arial" w:hAnsi="Arial"/>
          <w:color w:val="1A1A1A"/>
          <w:sz w:val="22"/>
          <w:szCs w:val="22"/>
        </w:rPr>
        <w:t xml:space="preserve">Each component x_j(t) represents the constitutional health of one societal domain. Domains include, but are not limited to: energy, finance, public health, infrastructure, AI systems, governance, environment, communications, logistics, education, transportation, security, and sixty additional sectors.</w:t>
      </w:r>
    </w:p>
    <w:p>
      <w:pPr>
        <w:pStyle w:val="Heading2"/>
        <w:spacing w:after="160" w:before="360"/>
      </w:pPr>
      <w:r>
        <w:rPr>
          <w:rFonts w:ascii="Arial" w:cs="Arial" w:eastAsia="Arial" w:hAnsi="Arial"/>
          <w:b/>
          <w:bCs/>
          <w:color w:val="D81B87"/>
          <w:sz w:val="32"/>
          <w:szCs w:val="32"/>
        </w:rPr>
        <w:t xml:space="preserve">3.2 Domain Structure</w:t>
      </w:r>
    </w:p>
    <w:p>
      <w:pPr>
        <w:spacing w:after="120" w:before="80" w:line="276" w:lineRule="auto"/>
        <w:jc w:val="both"/>
      </w:pPr>
      <w:r>
        <w:rPr>
          <w:rFonts w:ascii="Arial" w:cs="Arial" w:eastAsia="Arial" w:hAnsi="Arial"/>
          <w:color w:val="1A1A1A"/>
          <w:sz w:val="22"/>
          <w:szCs w:val="22"/>
        </w:rPr>
        <w:t xml:space="preserve">Each domain x_j(t) is characterized by the following attributes, all of which are constitutionally constrained and enforced by JGES:</w:t>
      </w:r>
    </w:p>
    <w:p>
      <w:pPr>
        <w:pStyle w:val="ListParagraph"/>
        <w:numPr>
          <w:ilvl w:val="0"/>
          <w:numId w:val="2"/>
        </w:numPr>
        <w:spacing w:after="40" w:before="40" w:line="260" w:lineRule="auto"/>
      </w:pPr>
      <w:r>
        <w:rPr>
          <w:rFonts w:ascii="Arial" w:cs="Arial" w:eastAsia="Arial" w:hAnsi="Arial"/>
          <w:color w:val="1A1A1A"/>
          <w:sz w:val="22"/>
          <w:szCs w:val="22"/>
        </w:rPr>
        <w:t xml:space="preserve">P-class envelope (P0–P3): defines the constitutional boundary for that domain</w:t>
      </w:r>
    </w:p>
    <w:p>
      <w:pPr>
        <w:pStyle w:val="ListParagraph"/>
        <w:numPr>
          <w:ilvl w:val="0"/>
          <w:numId w:val="2"/>
        </w:numPr>
        <w:spacing w:after="40" w:before="40" w:line="260" w:lineRule="auto"/>
      </w:pPr>
      <w:r>
        <w:rPr>
          <w:rFonts w:ascii="Arial" w:cs="Arial" w:eastAsia="Arial" w:hAnsi="Arial"/>
          <w:color w:val="1A1A1A"/>
          <w:sz w:val="22"/>
          <w:szCs w:val="22"/>
        </w:rPr>
        <w:t xml:space="preserve">Drift classification: GREEN → YELLOW → ORANGE → RED, indicating severity of departure from Σ*</w:t>
      </w:r>
    </w:p>
    <w:p>
      <w:pPr>
        <w:pStyle w:val="ListParagraph"/>
        <w:numPr>
          <w:ilvl w:val="0"/>
          <w:numId w:val="2"/>
        </w:numPr>
        <w:spacing w:after="40" w:before="40" w:line="260" w:lineRule="auto"/>
      </w:pPr>
      <w:r>
        <w:rPr>
          <w:rFonts w:ascii="Arial" w:cs="Arial" w:eastAsia="Arial" w:hAnsi="Arial"/>
          <w:color w:val="1A1A1A"/>
          <w:sz w:val="22"/>
          <w:szCs w:val="22"/>
        </w:rPr>
        <w:t xml:space="preserve">ψ-mode influence vector: the five-component (ψ₁–ψ₅) influence signature acting on the domain</w:t>
      </w:r>
    </w:p>
    <w:p>
      <w:pPr>
        <w:pStyle w:val="ListParagraph"/>
        <w:numPr>
          <w:ilvl w:val="0"/>
          <w:numId w:val="2"/>
        </w:numPr>
        <w:spacing w:after="40" w:before="40" w:line="260" w:lineRule="auto"/>
      </w:pPr>
      <w:r>
        <w:rPr>
          <w:rFonts w:ascii="Arial" w:cs="Arial" w:eastAsia="Arial" w:hAnsi="Arial"/>
          <w:color w:val="1A1A1A"/>
          <w:sz w:val="22"/>
          <w:szCs w:val="22"/>
        </w:rPr>
        <w:t xml:space="preserve">Curvature regime: Euclidean (stable), hyperbolic (unstable), or elliptic (constrained)</w:t>
      </w:r>
    </w:p>
    <w:p>
      <w:pPr>
        <w:pStyle w:val="ListParagraph"/>
        <w:numPr>
          <w:ilvl w:val="0"/>
          <w:numId w:val="2"/>
        </w:numPr>
        <w:spacing w:after="40" w:before="40" w:line="260" w:lineRule="auto"/>
      </w:pPr>
      <w:r>
        <w:rPr>
          <w:rFonts w:ascii="Arial" w:cs="Arial" w:eastAsia="Arial" w:hAnsi="Arial"/>
          <w:color w:val="1A1A1A"/>
          <w:sz w:val="22"/>
          <w:szCs w:val="22"/>
        </w:rPr>
        <w:t xml:space="preserve">Hysteresis state: accumulated constitutional memory via the Preisach/Bouc–Wen model</w:t>
      </w:r>
    </w:p>
    <w:p>
      <w:pPr>
        <w:pStyle w:val="Heading2"/>
        <w:spacing w:after="160" w:before="360"/>
      </w:pPr>
      <w:r>
        <w:rPr>
          <w:rFonts w:ascii="Arial" w:cs="Arial" w:eastAsia="Arial" w:hAnsi="Arial"/>
          <w:b/>
          <w:bCs/>
          <w:color w:val="D81B87"/>
          <w:sz w:val="32"/>
          <w:szCs w:val="32"/>
        </w:rPr>
        <w:t xml:space="preserve">3.3 Propagation Law</w:t>
      </w:r>
    </w:p>
    <w:p>
      <w:pPr>
        <w:spacing w:after="120" w:before="80" w:line="276" w:lineRule="auto"/>
        <w:jc w:val="both"/>
      </w:pPr>
      <w:r>
        <w:rPr>
          <w:rFonts w:ascii="Arial" w:cs="Arial" w:eastAsia="Arial" w:hAnsi="Arial"/>
          <w:color w:val="1A1A1A"/>
          <w:sz w:val="22"/>
          <w:szCs w:val="22"/>
        </w:rPr>
        <w:t xml:space="preserve">The evolution of Σ_society(t) is governed by the constitutional propagation equation:</w:t>
      </w:r>
    </w:p>
    <w:p>
      <w:pPr>
        <w:shd w:fill="F5F5F5" w:val="clear"/>
        <w:spacing w:after="160" w:before="160"/>
        <w:jc w:val="center"/>
      </w:pPr>
      <w:r>
        <w:rPr>
          <w:rFonts w:ascii="Courier New" w:cs="Courier New" w:eastAsia="Courier New" w:hAnsi="Courier New"/>
          <w:b/>
          <w:bCs/>
          <w:color w:val="B5006E"/>
          <w:sz w:val="22"/>
          <w:szCs w:val="22"/>
        </w:rPr>
        <w:t xml:space="preserve">x_j(t+1) = x_j(t) + Σ_{i=1}^{72} Σ_{k=1}^{5} T_{i,j,k} · ψ_{k,i}(t)</w:t>
      </w:r>
    </w:p>
    <w:p>
      <w:pPr>
        <w:spacing w:after="120" w:before="80" w:line="276" w:lineRule="auto"/>
        <w:jc w:val="both"/>
      </w:pPr>
      <w:r>
        <w:rPr>
          <w:rFonts w:ascii="Arial" w:cs="Arial" w:eastAsia="Arial" w:hAnsi="Arial"/>
          <w:color w:val="1A1A1A"/>
          <w:sz w:val="22"/>
          <w:szCs w:val="22"/>
        </w:rPr>
        <w:t xml:space="preserve">where T is the 72×72×5 Influence Tensor, ψ_{k,i}(t) is the k-th ψ-mode signal emitted by domain i at time t, and the sums range over all source domains i and all ψ-modes k. This equation is the constitutional physics of the societal manifold.</w:t>
      </w:r>
    </w:p>
    <w:p>
      <w:pPr>
        <w:pStyle w:val="Heading2"/>
        <w:spacing w:after="160" w:before="360"/>
      </w:pPr>
      <w:r>
        <w:rPr>
          <w:rFonts w:ascii="Arial" w:cs="Arial" w:eastAsia="Arial" w:hAnsi="Arial"/>
          <w:b/>
          <w:bCs/>
          <w:color w:val="D81B87"/>
          <w:sz w:val="32"/>
          <w:szCs w:val="32"/>
        </w:rPr>
        <w:t xml:space="preserve">3.4 Computation via the SDRS</w:t>
      </w:r>
    </w:p>
    <w:p>
      <w:pPr>
        <w:spacing w:after="120" w:before="80" w:line="276" w:lineRule="auto"/>
        <w:jc w:val="both"/>
      </w:pPr>
      <w:r>
        <w:rPr>
          <w:rFonts w:ascii="Arial" w:cs="Arial" w:eastAsia="Arial" w:hAnsi="Arial"/>
          <w:color w:val="1A1A1A"/>
          <w:sz w:val="22"/>
          <w:szCs w:val="22"/>
        </w:rPr>
        <w:t xml:space="preserve">Σ_society(t) is produced and maintained by the Societal Data Registry Server (SDRS). The SDRS applies multi-cadence ingestion, PCSF validation, tensor propagation, hysteresis models, curvature-phase geometry, and envelope constraints to compute the current state of the manifold from real-world societal data.</w:t>
      </w:r>
    </w:p>
    <w:p>
      <w:pPr>
        <w:pStyle w:val="Heading2"/>
        <w:spacing w:after="160" w:before="360"/>
      </w:pPr>
      <w:r>
        <w:rPr>
          <w:rFonts w:ascii="Arial" w:cs="Arial" w:eastAsia="Arial" w:hAnsi="Arial"/>
          <w:b/>
          <w:bCs/>
          <w:color w:val="D81B87"/>
          <w:sz w:val="32"/>
          <w:szCs w:val="32"/>
        </w:rPr>
        <w:t xml:space="preserve">3.5 Constitutional Meaning</w:t>
      </w:r>
    </w:p>
    <w:p>
      <w:pPr>
        <w:spacing w:after="120" w:before="80" w:line="276" w:lineRule="auto"/>
        <w:jc w:val="both"/>
      </w:pPr>
      <w:r>
        <w:rPr>
          <w:rFonts w:ascii="Arial" w:cs="Arial" w:eastAsia="Arial" w:hAnsi="Arial"/>
          <w:color w:val="1A1A1A"/>
          <w:sz w:val="22"/>
          <w:szCs w:val="22"/>
        </w:rPr>
        <w:t xml:space="preserve">Σ_society(t) is the constitutional mirror of civilization. It is simultaneously the object of governance (what JGES enforces upon), the substrate for simulation (what the CUAP Simulation Engine and FMEWS operate on), the target of enforcement (what corrective operators restore), and the anchor for constitutional transparency (what ZK-verified dashboards display). Without Σ_society(t), the system would have no operational interface with the real world.</w:t>
      </w:r>
    </w:p>
    <w:p>
      <w:pPr>
        <w:pStyle w:val="Heading2"/>
        <w:spacing w:after="160" w:before="360"/>
      </w:pPr>
      <w:r>
        <w:rPr>
          <w:rFonts w:ascii="Arial" w:cs="Arial" w:eastAsia="Arial" w:hAnsi="Arial"/>
          <w:b/>
          <w:bCs/>
          <w:color w:val="D81B87"/>
          <w:sz w:val="32"/>
          <w:szCs w:val="32"/>
        </w:rPr>
        <w:t xml:space="preserve">3.6 Projection Π_semantic</w:t>
      </w:r>
    </w:p>
    <w:p>
      <w:pPr>
        <w:spacing w:after="120" w:before="80" w:line="276" w:lineRule="auto"/>
        <w:jc w:val="both"/>
      </w:pPr>
      <w:r>
        <w:rPr>
          <w:rFonts w:ascii="Arial" w:cs="Arial" w:eastAsia="Arial" w:hAnsi="Arial"/>
          <w:color w:val="1A1A1A"/>
          <w:sz w:val="22"/>
          <w:szCs w:val="22"/>
        </w:rPr>
        <w:t xml:space="preserve">The projection Π_semantic is the contractive morphism that maps the full constitutional state Σ(t) to the societal manifold Σ_society(t):</w:t>
      </w:r>
    </w:p>
    <w:p>
      <w:pPr>
        <w:shd w:fill="F5F5F5" w:val="clear"/>
        <w:spacing w:after="160" w:before="160"/>
        <w:jc w:val="center"/>
      </w:pPr>
      <w:r>
        <w:rPr>
          <w:rFonts w:ascii="Courier New" w:cs="Courier New" w:eastAsia="Courier New" w:hAnsi="Courier New"/>
          <w:b/>
          <w:bCs/>
          <w:color w:val="B5006E"/>
          <w:sz w:val="22"/>
          <w:szCs w:val="22"/>
        </w:rPr>
        <w:t xml:space="preserve">Π_semantic : Σ(t) → Σ_society(t)</w:t>
      </w:r>
    </w:p>
    <w:p>
      <w:pPr>
        <w:spacing w:after="120" w:before="80" w:line="276" w:lineRule="auto"/>
        <w:jc w:val="both"/>
      </w:pPr>
      <w:r>
        <w:rPr>
          <w:rFonts w:ascii="Arial" w:cs="Arial" w:eastAsia="Arial" w:hAnsi="Arial"/>
          <w:color w:val="1A1A1A"/>
          <w:sz w:val="22"/>
          <w:szCs w:val="22"/>
        </w:rPr>
        <w:t xml:space="preserve">This morphism preserves constitutional invariants under contraction: the constitutionality of Σ(t) implies the constitutionality of Σ_society(t). The projection is a sealed, formally verified mapping.</w:t>
      </w:r>
    </w:p>
    <w:p>
      <w:pPr>
        <w:pStyle w:val="Heading2"/>
        <w:spacing w:after="160" w:before="360"/>
      </w:pPr>
      <w:r>
        <w:rPr>
          <w:rFonts w:ascii="Arial" w:cs="Arial" w:eastAsia="Arial" w:hAnsi="Arial"/>
          <w:b/>
          <w:bCs/>
          <w:color w:val="D81B87"/>
          <w:sz w:val="32"/>
          <w:szCs w:val="32"/>
        </w:rPr>
        <w:t xml:space="preserve">3.7 Why Σ_society(t) Is Historic</w:t>
      </w:r>
    </w:p>
    <w:p>
      <w:pPr>
        <w:spacing w:after="120" w:before="80" w:line="276" w:lineRule="auto"/>
        <w:jc w:val="both"/>
      </w:pPr>
      <w:r>
        <w:rPr>
          <w:rFonts w:ascii="Arial" w:cs="Arial" w:eastAsia="Arial" w:hAnsi="Arial"/>
          <w:color w:val="1A1A1A"/>
          <w:sz w:val="22"/>
          <w:szCs w:val="22"/>
        </w:rPr>
        <w:t xml:space="preserve">For the first time in history, civilization has a formal state vector. Governance has a mathematical substrate. Constitutional law has a governed dynamical system. Societal risk has a Lyapunov functional. Public health has ZK-verified metrics. AI governance has ψ-mode accountability. Constitutional amendments can be simulated before adoption. Failure modes can be reverse-engineered from historical trajectories. Σ_society(t) is the bridge between mathematics and governance.</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4: The Influence Tensor Τ</w:t>
      </w:r>
    </w:p>
    <w:p>
      <w:pPr>
        <w:pStyle w:val="Heading2"/>
        <w:spacing w:after="160" w:before="360"/>
      </w:pPr>
      <w:r>
        <w:rPr>
          <w:rFonts w:ascii="Arial" w:cs="Arial" w:eastAsia="Arial" w:hAnsi="Arial"/>
          <w:b/>
          <w:bCs/>
          <w:color w:val="D81B87"/>
          <w:sz w:val="32"/>
          <w:szCs w:val="32"/>
        </w:rPr>
        <w:t xml:space="preserve">4.1 Formal Definition</w:t>
      </w:r>
    </w:p>
    <w:p>
      <w:pPr>
        <w:spacing w:after="120" w:before="80" w:line="276" w:lineRule="auto"/>
        <w:jc w:val="both"/>
      </w:pPr>
      <w:r>
        <w:rPr>
          <w:rFonts w:ascii="Arial" w:cs="Arial" w:eastAsia="Arial" w:hAnsi="Arial"/>
          <w:color w:val="1A1A1A"/>
          <w:sz w:val="22"/>
          <w:szCs w:val="22"/>
        </w:rPr>
        <w:t xml:space="preserve">The Influence Tensor Τ is the governed propagation operator of Σ_society(t). It is a third-order tensor of real coefficients:</w:t>
      </w:r>
    </w:p>
    <w:p>
      <w:pPr>
        <w:shd w:fill="F5F5F5" w:val="clear"/>
        <w:spacing w:after="160" w:before="160"/>
        <w:jc w:val="center"/>
      </w:pPr>
      <w:r>
        <w:rPr>
          <w:rFonts w:ascii="Courier New" w:cs="Courier New" w:eastAsia="Courier New" w:hAnsi="Courier New"/>
          <w:b/>
          <w:bCs/>
          <w:color w:val="B5006E"/>
          <w:sz w:val="22"/>
          <w:szCs w:val="22"/>
        </w:rPr>
        <w:t xml:space="preserve">Τ ∈ ℝ^{72 × 72 × 5}</w:t>
      </w:r>
    </w:p>
    <w:p>
      <w:pPr>
        <w:spacing w:after="120" w:before="80" w:line="276" w:lineRule="auto"/>
        <w:jc w:val="both"/>
      </w:pPr>
      <w:r>
        <w:rPr>
          <w:rFonts w:ascii="Arial" w:cs="Arial" w:eastAsia="Arial" w:hAnsi="Arial"/>
          <w:color w:val="1A1A1A"/>
          <w:sz w:val="22"/>
          <w:szCs w:val="22"/>
        </w:rPr>
        <w:t xml:space="preserve">For each ordered pair of domains (d_i → d_j), the tensor stores a five-component ψ-vector encoding the nature and magnitude of influence flowing from domain i to domain j across each of the five ψ-modes. The tensor encodes 25,920 constitutional coefficients in total.</w:t>
      </w:r>
    </w:p>
    <w:p>
      <w:pPr>
        <w:pStyle w:val="Heading2"/>
        <w:spacing w:after="160" w:before="360"/>
      </w:pPr>
      <w:r>
        <w:rPr>
          <w:rFonts w:ascii="Arial" w:cs="Arial" w:eastAsia="Arial" w:hAnsi="Arial"/>
          <w:b/>
          <w:bCs/>
          <w:color w:val="D81B87"/>
          <w:sz w:val="32"/>
          <w:szCs w:val="32"/>
        </w:rPr>
        <w:t xml:space="preserve">4.2 The Propagation Law</w:t>
      </w:r>
    </w:p>
    <w:p>
      <w:pPr>
        <w:spacing w:after="120" w:before="80" w:line="276" w:lineRule="auto"/>
        <w:jc w:val="both"/>
      </w:pPr>
      <w:r>
        <w:rPr>
          <w:rFonts w:ascii="Arial" w:cs="Arial" w:eastAsia="Arial" w:hAnsi="Arial"/>
          <w:color w:val="1A1A1A"/>
          <w:sz w:val="22"/>
          <w:szCs w:val="22"/>
        </w:rPr>
        <w:t xml:space="preserve">The Influence Tensor defines how Σ_society(t) evolves over time through the constitutional propagation equation. For each target domain j:</w:t>
      </w:r>
    </w:p>
    <w:p>
      <w:pPr>
        <w:shd w:fill="F5F5F5" w:val="clear"/>
        <w:spacing w:after="160" w:before="160"/>
        <w:jc w:val="center"/>
      </w:pPr>
      <w:r>
        <w:rPr>
          <w:rFonts w:ascii="Courier New" w:cs="Courier New" w:eastAsia="Courier New" w:hAnsi="Courier New"/>
          <w:b/>
          <w:bCs/>
          <w:color w:val="B5006E"/>
          <w:sz w:val="22"/>
          <w:szCs w:val="22"/>
        </w:rPr>
        <w:t xml:space="preserve">x_j(t+1) = x_j(t) + Σᵢ Σₖ T_{i,j,k} · ψ_{k,i}(t)</w:t>
      </w:r>
    </w:p>
    <w:p>
      <w:pPr>
        <w:spacing w:after="120" w:before="80" w:line="276" w:lineRule="auto"/>
        <w:jc w:val="both"/>
      </w:pPr>
      <w:r>
        <w:rPr>
          <w:rFonts w:ascii="Arial" w:cs="Arial" w:eastAsia="Arial" w:hAnsi="Arial"/>
          <w:color w:val="1A1A1A"/>
          <w:sz w:val="22"/>
          <w:szCs w:val="22"/>
        </w:rPr>
        <w:t xml:space="preserve">This is the constitutional physics of the societal manifold. Each coefficient T_{i,j,k} quantifies how strongly domain i’s k-th ψ-mode influences domain j’s trajectory.</w:t>
      </w:r>
    </w:p>
    <w:p>
      <w:pPr>
        <w:pStyle w:val="Heading2"/>
        <w:spacing w:after="160" w:before="360"/>
      </w:pPr>
      <w:r>
        <w:rPr>
          <w:rFonts w:ascii="Arial" w:cs="Arial" w:eastAsia="Arial" w:hAnsi="Arial"/>
          <w:b/>
          <w:bCs/>
          <w:color w:val="D81B87"/>
          <w:sz w:val="32"/>
          <w:szCs w:val="32"/>
        </w:rPr>
        <w:t xml:space="preserve">4.3 Constitutional Safety Condition</w:t>
      </w:r>
    </w:p>
    <w:p>
      <w:pPr>
        <w:spacing w:after="120" w:before="80" w:line="276" w:lineRule="auto"/>
        <w:jc w:val="both"/>
      </w:pPr>
      <w:r>
        <w:rPr>
          <w:rFonts w:ascii="Arial" w:cs="Arial" w:eastAsia="Arial" w:hAnsi="Arial"/>
          <w:color w:val="1A1A1A"/>
          <w:sz w:val="22"/>
          <w:szCs w:val="22"/>
        </w:rPr>
        <w:t xml:space="preserve">For each active edge (i → j), the tensor must satisfy the Lyapunov Consistency Condition:</w:t>
      </w:r>
    </w:p>
    <w:p>
      <w:pPr>
        <w:shd w:fill="F5F5F5" w:val="clear"/>
        <w:spacing w:after="160" w:before="160"/>
        <w:jc w:val="center"/>
      </w:pPr>
      <w:r>
        <w:rPr>
          <w:rFonts w:ascii="Courier New" w:cs="Courier New" w:eastAsia="Courier New" w:hAnsi="Courier New"/>
          <w:b/>
          <w:bCs/>
          <w:color w:val="B5006E"/>
          <w:sz w:val="22"/>
          <w:szCs w:val="22"/>
        </w:rPr>
        <w:t xml:space="preserve">(ψ₁ + ψ₄) &gt; (ψ₂ + ψ₃)</w:t>
      </w:r>
    </w:p>
    <w:p>
      <w:pPr>
        <w:spacing w:after="120" w:before="80" w:line="276" w:lineRule="auto"/>
        <w:jc w:val="both"/>
      </w:pPr>
      <w:r>
        <w:rPr>
          <w:rFonts w:ascii="Arial" w:cs="Arial" w:eastAsia="Arial" w:hAnsi="Arial"/>
          <w:color w:val="1A1A1A"/>
          <w:sz w:val="22"/>
          <w:szCs w:val="22"/>
        </w:rPr>
        <w:t xml:space="preserve">Dissipative modes (stabilizing ψ₁ and buffering ψ₄) must dominate injective modes (destabilizing ψ₂ and amplifying ψ₃) on critical edges for long-run constitutional safety. This is the tensor-level expression of the Uniform Contraction Doctrine.</w:t>
      </w:r>
    </w:p>
    <w:p>
      <w:pPr>
        <w:pStyle w:val="Heading2"/>
        <w:spacing w:after="160" w:before="360"/>
      </w:pPr>
      <w:r>
        <w:rPr>
          <w:rFonts w:ascii="Arial" w:cs="Arial" w:eastAsia="Arial" w:hAnsi="Arial"/>
          <w:b/>
          <w:bCs/>
          <w:color w:val="D81B87"/>
          <w:sz w:val="32"/>
          <w:szCs w:val="32"/>
        </w:rPr>
        <w:t xml:space="preserve">4.4 Constitutional Meaning</w:t>
      </w:r>
    </w:p>
    <w:p>
      <w:pPr>
        <w:spacing w:after="120" w:before="80" w:line="276" w:lineRule="auto"/>
        <w:jc w:val="both"/>
      </w:pPr>
      <w:r>
        <w:rPr>
          <w:rFonts w:ascii="Arial" w:cs="Arial" w:eastAsia="Arial" w:hAnsi="Arial"/>
          <w:color w:val="1A1A1A"/>
          <w:sz w:val="22"/>
          <w:szCs w:val="22"/>
        </w:rPr>
        <w:t xml:space="preserve">The Influence Tensor is not a statistical model. It is a constitutional organ. It encodes: lawful influence, bounded propagation, invariant-preserving dynamics, cross-domain coupling, structural authority, drift pathways, contagion channels, and stabilization mechanisms. It is the physics engine of the societal manifold and the central dynamical object of the entire system.</w:t>
      </w:r>
    </w:p>
    <w:p>
      <w:pPr>
        <w:pStyle w:val="Heading2"/>
        <w:spacing w:after="160" w:before="360"/>
      </w:pPr>
      <w:r>
        <w:rPr>
          <w:rFonts w:ascii="Arial" w:cs="Arial" w:eastAsia="Arial" w:hAnsi="Arial"/>
          <w:b/>
          <w:bCs/>
          <w:color w:val="D81B87"/>
          <w:sz w:val="32"/>
          <w:szCs w:val="32"/>
        </w:rPr>
        <w:t xml:space="preserve">4.5 Tensor-Encoded Phenomena</w:t>
      </w:r>
    </w:p>
    <w:p>
      <w:pPr>
        <w:spacing w:after="120" w:before="80" w:line="276" w:lineRule="auto"/>
        <w:jc w:val="both"/>
      </w:pPr>
      <w:r>
        <w:rPr>
          <w:rFonts w:ascii="Arial" w:cs="Arial" w:eastAsia="Arial" w:hAnsi="Arial"/>
          <w:color w:val="1A1A1A"/>
          <w:sz w:val="22"/>
          <w:szCs w:val="22"/>
        </w:rPr>
        <w:t xml:space="preserve">The Influence Tensor governs the following constitutional phenomena:</w:t>
      </w:r>
    </w:p>
    <w:p>
      <w:pPr>
        <w:pStyle w:val="ListParagraph"/>
        <w:numPr>
          <w:ilvl w:val="0"/>
          <w:numId w:val="2"/>
        </w:numPr>
        <w:spacing w:after="40" w:before="40" w:line="260" w:lineRule="auto"/>
      </w:pPr>
      <w:r>
        <w:rPr>
          <w:rFonts w:ascii="Arial" w:cs="Arial" w:eastAsia="Arial" w:hAnsi="Arial"/>
          <w:color w:val="1A1A1A"/>
          <w:sz w:val="22"/>
          <w:szCs w:val="22"/>
        </w:rPr>
        <w:t xml:space="preserve">Drift Propagation: how destabilization spreads across domains via ψ₂ and ψ₃ edges</w:t>
      </w:r>
    </w:p>
    <w:p>
      <w:pPr>
        <w:pStyle w:val="ListParagraph"/>
        <w:numPr>
          <w:ilvl w:val="0"/>
          <w:numId w:val="2"/>
        </w:numPr>
        <w:spacing w:after="40" w:before="40" w:line="260" w:lineRule="auto"/>
      </w:pPr>
      <w:r>
        <w:rPr>
          <w:rFonts w:ascii="Arial" w:cs="Arial" w:eastAsia="Arial" w:hAnsi="Arial"/>
          <w:color w:val="1A1A1A"/>
          <w:sz w:val="22"/>
          <w:szCs w:val="22"/>
        </w:rPr>
        <w:t xml:space="preserve">Stabilization Fields: how ψ₁ and ψ₄ counteract ψ₂ and ψ₃ on opposing edges</w:t>
      </w:r>
    </w:p>
    <w:p>
      <w:pPr>
        <w:pStyle w:val="ListParagraph"/>
        <w:numPr>
          <w:ilvl w:val="0"/>
          <w:numId w:val="2"/>
        </w:numPr>
        <w:spacing w:after="40" w:before="40" w:line="260" w:lineRule="auto"/>
      </w:pPr>
      <w:r>
        <w:rPr>
          <w:rFonts w:ascii="Arial" w:cs="Arial" w:eastAsia="Arial" w:hAnsi="Arial"/>
          <w:color w:val="1A1A1A"/>
          <w:sz w:val="22"/>
          <w:szCs w:val="22"/>
        </w:rPr>
        <w:t xml:space="preserve">Amplification Loops: positive feedback cycles in ψ₃-weighted edges, capable of leading to FM-K001</w:t>
      </w:r>
    </w:p>
    <w:p>
      <w:pPr>
        <w:pStyle w:val="ListParagraph"/>
        <w:numPr>
          <w:ilvl w:val="0"/>
          <w:numId w:val="2"/>
        </w:numPr>
        <w:spacing w:after="40" w:before="40" w:line="260" w:lineRule="auto"/>
      </w:pPr>
      <w:r>
        <w:rPr>
          <w:rFonts w:ascii="Arial" w:cs="Arial" w:eastAsia="Arial" w:hAnsi="Arial"/>
          <w:color w:val="1A1A1A"/>
          <w:sz w:val="22"/>
          <w:szCs w:val="22"/>
        </w:rPr>
        <w:t xml:space="preserve">Structural Coupling: ψ₅-weighted edges that bind governance, law, and constitutional authority</w:t>
      </w:r>
    </w:p>
    <w:p>
      <w:pPr>
        <w:pStyle w:val="ListParagraph"/>
        <w:numPr>
          <w:ilvl w:val="0"/>
          <w:numId w:val="2"/>
        </w:numPr>
        <w:spacing w:after="40" w:before="40" w:line="260" w:lineRule="auto"/>
      </w:pPr>
      <w:r>
        <w:rPr>
          <w:rFonts w:ascii="Arial" w:cs="Arial" w:eastAsia="Arial" w:hAnsi="Arial"/>
          <w:color w:val="1A1A1A"/>
          <w:sz w:val="22"/>
          <w:szCs w:val="22"/>
        </w:rPr>
        <w:t xml:space="preserve">Curvature-Phase Transitions: hyperbolic shifts in manifold geometry indicating structural instability</w:t>
      </w:r>
    </w:p>
    <w:p>
      <w:pPr>
        <w:pStyle w:val="ListParagraph"/>
        <w:numPr>
          <w:ilvl w:val="0"/>
          <w:numId w:val="2"/>
        </w:numPr>
        <w:spacing w:after="40" w:before="40" w:line="260" w:lineRule="auto"/>
      </w:pPr>
      <w:r>
        <w:rPr>
          <w:rFonts w:ascii="Arial" w:cs="Arial" w:eastAsia="Arial" w:hAnsi="Arial"/>
          <w:color w:val="1A1A1A"/>
          <w:sz w:val="22"/>
          <w:szCs w:val="22"/>
        </w:rPr>
        <w:t xml:space="preserve">Envelope Stress: how P-class boundaries are approached or crossed under accumulated drift</w:t>
      </w:r>
    </w:p>
    <w:p>
      <w:pPr>
        <w:pStyle w:val="Heading2"/>
        <w:spacing w:after="160" w:before="360"/>
      </w:pPr>
      <w:r>
        <w:rPr>
          <w:rFonts w:ascii="Arial" w:cs="Arial" w:eastAsia="Arial" w:hAnsi="Arial"/>
          <w:b/>
          <w:bCs/>
          <w:color w:val="D81B87"/>
          <w:sz w:val="32"/>
          <w:szCs w:val="32"/>
        </w:rPr>
        <w:t xml:space="preserve">4.6 Tensor Calibration</w:t>
      </w:r>
    </w:p>
    <w:p>
      <w:pPr>
        <w:spacing w:after="120" w:before="80" w:line="276" w:lineRule="auto"/>
        <w:jc w:val="both"/>
      </w:pPr>
      <w:r>
        <w:rPr>
          <w:rFonts w:ascii="Arial" w:cs="Arial" w:eastAsia="Arial" w:hAnsi="Arial"/>
          <w:color w:val="1A1A1A"/>
          <w:sz w:val="22"/>
          <w:szCs w:val="22"/>
        </w:rPr>
        <w:t xml:space="preserve">The tensor coefficients T_{i,j,k} are estimated from historical societal data via constitutional parameter identification — a formal estimation process that uses SDRS historical records to calibrate ψ-mode influence coefficients while preserving UCD contraction margins and sealed non-degeneracy floors. The Sparsity Preservation Theorem guarantees that tensor sparsification does not break contraction.</w:t>
      </w:r>
    </w:p>
    <w:p>
      <w:pPr>
        <w:pStyle w:val="Heading2"/>
        <w:spacing w:after="160" w:before="360"/>
      </w:pPr>
      <w:r>
        <w:rPr>
          <w:rFonts w:ascii="Arial" w:cs="Arial" w:eastAsia="Arial" w:hAnsi="Arial"/>
          <w:b/>
          <w:bCs/>
          <w:color w:val="D81B87"/>
          <w:sz w:val="32"/>
          <w:szCs w:val="32"/>
        </w:rPr>
        <w:t xml:space="preserve">4.7 Role in the Architecture</w:t>
      </w:r>
    </w:p>
    <w:p>
      <w:pPr>
        <w:spacing w:after="120" w:before="80" w:line="276" w:lineRule="auto"/>
        <w:jc w:val="both"/>
      </w:pPr>
      <w:r>
        <w:rPr>
          <w:rFonts w:ascii="Arial" w:cs="Arial" w:eastAsia="Arial" w:hAnsi="Arial"/>
          <w:color w:val="1A1A1A"/>
          <w:sz w:val="22"/>
          <w:szCs w:val="22"/>
        </w:rPr>
        <w:t xml:space="preserve">The Influence Tensor is used by every major subsystem of ISA Fabric: the SDRS uses it to compute Σ_society(t); JGES uses it to detect drift and enforce invariants; MPAB uses it to adjudicate ambiguous transitions; BLVDB records propagation lineage; the CUAP Simulation Engine uses it to test proposed amendments; the FMEWS uses it for forward failure forecasting; the Reverse Engineering Failure Modes engine uses it for backward causal tracing; and the Transparency Portal uses it to display ZK-verified influence metrics.</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5: ψ-Mode Semantics</w:t>
      </w:r>
    </w:p>
    <w:p>
      <w:pPr>
        <w:pStyle w:val="Heading2"/>
        <w:spacing w:after="160" w:before="360"/>
      </w:pPr>
      <w:r>
        <w:rPr>
          <w:rFonts w:ascii="Arial" w:cs="Arial" w:eastAsia="Arial" w:hAnsi="Arial"/>
          <w:b/>
          <w:bCs/>
          <w:color w:val="D81B87"/>
          <w:sz w:val="32"/>
          <w:szCs w:val="32"/>
        </w:rPr>
        <w:t xml:space="preserve">5.1 Overview</w:t>
      </w:r>
    </w:p>
    <w:p>
      <w:pPr>
        <w:spacing w:after="120" w:before="80" w:line="276" w:lineRule="auto"/>
        <w:jc w:val="both"/>
      </w:pPr>
      <w:r>
        <w:rPr>
          <w:rFonts w:ascii="Arial" w:cs="Arial" w:eastAsia="Arial" w:hAnsi="Arial"/>
          <w:color w:val="1A1A1A"/>
          <w:sz w:val="22"/>
          <w:szCs w:val="22"/>
        </w:rPr>
        <w:t xml:space="preserve">Each edge of the Influence Tensor carries a five-component ψ-mode vector (ψ₁–ψ₅). ψ-modes are the constitutional classification system for types of influence flowing between domains. They are the semantic layer of the tensor: they determine not merely the magnitude but the constitutional meaning of inter-domain influence.</w:t>
      </w:r>
    </w:p>
    <w:p>
      <w:pPr>
        <w:pStyle w:val="Heading2"/>
        <w:spacing w:after="160" w:before="360"/>
      </w:pPr>
      <w:r>
        <w:rPr>
          <w:rFonts w:ascii="Arial" w:cs="Arial" w:eastAsia="Arial" w:hAnsi="Arial"/>
          <w:b/>
          <w:bCs/>
          <w:color w:val="D81B87"/>
          <w:sz w:val="32"/>
          <w:szCs w:val="32"/>
        </w:rPr>
        <w:t xml:space="preserve">5.2 ψ-Mode Reference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400"/>
        <w:gridCol w:w="2230"/>
        <w:gridCol w:w="2230"/>
      </w:tblGrid>
      <w:tr>
        <w:trPr>
          <w:tblHeader/>
        </w:trPr>
        <w:tc>
          <w:tcPr>
            <w:tcW w:type="dxa" w:w="9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Mode</w:t>
            </w:r>
          </w:p>
        </w:tc>
        <w:tc>
          <w:tcPr>
            <w:tcW w:type="dxa" w:w="14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Name</w:t>
            </w:r>
          </w:p>
        </w:tc>
        <w:tc>
          <w:tcPr>
            <w:tcW w:type="dxa" w:w="24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Constitutional Meaning</w:t>
            </w:r>
          </w:p>
        </w:tc>
        <w:tc>
          <w:tcPr>
            <w:tcW w:type="dxa" w:w="223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Effects on Σ_society(t)</w:t>
            </w:r>
          </w:p>
        </w:tc>
        <w:tc>
          <w:tcPr>
            <w:tcW w:type="dxa" w:w="223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JGES Interpretation</w:t>
            </w:r>
          </w:p>
        </w:tc>
      </w:tr>
      <w:tr>
        <w:trPr>
          <w:tblHeader w:val="false"/>
        </w:trPr>
        <w:tc>
          <w:tcPr>
            <w:tcW w:type="dxa" w:w="9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ψ₁</w:t>
            </w:r>
          </w:p>
        </w:tc>
        <w:tc>
          <w:tcPr>
            <w:tcW w:type="dxa" w:w="1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Stabilizing</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Lawful, resilience-enhancing influence restoring or maintaining constitutional order.</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Damps oscillations, reduces drift, pulls domains back toward the safe basin and envelope interior.</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Preferred mode; JGES treats ψ₁ as good friction and restorative structure.</w:t>
            </w:r>
          </w:p>
        </w:tc>
      </w:tr>
      <w:tr>
        <w:trPr>
          <w:tblHeader w:val="false"/>
        </w:trPr>
        <w:tc>
          <w:tcPr>
            <w:tcW w:type="dxa" w:w="9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ψ₂</w:t>
            </w:r>
          </w:p>
        </w:tc>
        <w:tc>
          <w:tcPr>
            <w:tcW w:type="dxa" w:w="1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Destabilizing</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Risk-injecting, volatility-increasing influence pushing systems toward disorder.</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Increases variance, nudges domains toward envelope boundaries, raises local FM susceptibility.</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JGES monitors ψ₂ as threat pressure; high ψ₂ triggers MONITOR/ADJUST/ROLLBACK.</w:t>
            </w:r>
          </w:p>
        </w:tc>
      </w:tr>
      <w:tr>
        <w:trPr>
          <w:tblHeader w:val="false"/>
        </w:trPr>
        <w:tc>
          <w:tcPr>
            <w:tcW w:type="dxa" w:w="9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ψ₃</w:t>
            </w:r>
          </w:p>
        </w:tc>
        <w:tc>
          <w:tcPr>
            <w:tcW w:type="dxa" w:w="1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Amplifying</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Feedback-driven influence magnifying existing trends, stabilizing or destabilizing.</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Strengthens whatever is present: stabilizing if ψ₁-dominated, dangerous if ψ₂-dominated.</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JGES treats ψ₃ as a multiplier; safe only when paired with strong ψ₁/ψ₄ buffers.</w:t>
            </w:r>
          </w:p>
        </w:tc>
      </w:tr>
      <w:tr>
        <w:trPr>
          <w:tblHeader w:val="false"/>
        </w:trPr>
        <w:tc>
          <w:tcPr>
            <w:tcW w:type="dxa" w:w="9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ψ₄</w:t>
            </w:r>
          </w:p>
        </w:tc>
        <w:tc>
          <w:tcPr>
            <w:tcW w:type="dxa" w:w="1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Buffering</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Redundancy-and-slack-based influence absorbing shocks and localizing failures.</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Localizes damage, reduces cross-domain contagion, increases time-to-failure under stress.</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JGES relies on ψ₄ as shock absorbers; low ψ₄ in critical domains is a red flag.</w:t>
            </w:r>
          </w:p>
        </w:tc>
      </w:tr>
      <w:tr>
        <w:trPr>
          <w:tblHeader w:val="false"/>
        </w:trPr>
        <w:tc>
          <w:tcPr>
            <w:tcW w:type="dxa" w:w="9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ψ₅</w:t>
            </w:r>
          </w:p>
        </w:tc>
        <w:tc>
          <w:tcPr>
            <w:tcW w:type="dxa" w:w="1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Structural</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Deep constitutional, institutional, or infrastructural coupling and authority relationships.</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Sets long-range constraints, defines who can affect whom, shapes curvature and envelope geometry.</w:t>
            </w:r>
          </w:p>
        </w:tc>
        <w:tc>
          <w:tcPr>
            <w:tcW w:type="dxa" w:w="223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JGES treats ψ₅ as hard wiring; changes require CUAP-level constitutional action.</w:t>
            </w:r>
          </w:p>
        </w:tc>
      </w:tr>
    </w:tbl>
    <w:p>
      <w:pPr>
        <w:spacing w:after="120" w:before="40"/>
        <w:jc w:val="center"/>
      </w:pPr>
      <w:r>
        <w:rPr>
          <w:rFonts w:ascii="Arial" w:cs="Arial" w:eastAsia="Arial" w:hAnsi="Arial"/>
          <w:i/>
          <w:iCs/>
          <w:color w:val="777777"/>
          <w:sz w:val="18"/>
          <w:szCs w:val="18"/>
        </w:rPr>
        <w:t xml:space="preserve">Table 5.1 — ψ-Mode Semantics Reference</w:t>
      </w:r>
    </w:p>
    <w:p>
      <w:pPr>
        <w:spacing w:after="80" w:before="80"/>
      </w:pPr>
      <w:r>
        <w:t xml:space="preserve"/>
      </w:r>
    </w:p>
    <w:p>
      <w:pPr>
        <w:pStyle w:val="Heading2"/>
        <w:spacing w:after="160" w:before="360"/>
      </w:pPr>
      <w:r>
        <w:rPr>
          <w:rFonts w:ascii="Arial" w:cs="Arial" w:eastAsia="Arial" w:hAnsi="Arial"/>
          <w:b/>
          <w:bCs/>
          <w:color w:val="D81B87"/>
          <w:sz w:val="32"/>
          <w:szCs w:val="32"/>
        </w:rPr>
        <w:t xml:space="preserve">5.3 Canonical Safety Conditions</w:t>
      </w:r>
    </w:p>
    <w:p>
      <w:pPr>
        <w:spacing w:after="120" w:before="80" w:line="276" w:lineRule="auto"/>
        <w:jc w:val="both"/>
      </w:pPr>
      <w:r>
        <w:rPr>
          <w:rFonts w:ascii="Arial" w:cs="Arial" w:eastAsia="Arial" w:hAnsi="Arial"/>
          <w:color w:val="1A1A1A"/>
          <w:sz w:val="22"/>
          <w:szCs w:val="22"/>
        </w:rPr>
        <w:t xml:space="preserve">Two canonical safety conditions govern ψ-mode balance in the Influence Tensor:</w:t>
      </w:r>
    </w:p>
    <w:p>
      <w:pPr>
        <w:spacing w:after="120" w:before="80" w:line="276" w:lineRule="auto"/>
        <w:jc w:val="both"/>
      </w:pPr>
      <w:r>
        <w:rPr>
          <w:rFonts w:ascii="Arial" w:cs="Arial" w:eastAsia="Arial" w:hAnsi="Arial"/>
          <w:color w:val="1A1A1A"/>
          <w:sz w:val="22"/>
          <w:szCs w:val="22"/>
        </w:rPr>
        <w:t xml:space="preserve">Stability Condition: On critical edges for long-run safety, the sum of stabilizing and buffering modes must exceed the sum of destabilizing and amplifying modes:</w:t>
      </w:r>
    </w:p>
    <w:p>
      <w:pPr>
        <w:shd w:fill="F5F5F5" w:val="clear"/>
        <w:spacing w:after="160" w:before="160"/>
        <w:jc w:val="center"/>
      </w:pPr>
      <w:r>
        <w:rPr>
          <w:rFonts w:ascii="Courier New" w:cs="Courier New" w:eastAsia="Courier New" w:hAnsi="Courier New"/>
          <w:b/>
          <w:bCs/>
          <w:color w:val="B5006E"/>
          <w:sz w:val="22"/>
          <w:szCs w:val="22"/>
        </w:rPr>
        <w:t xml:space="preserve">(ψ₁ + ψ₄) MUST dominate (ψ₂ + ψ₃) on critical edges</w:t>
      </w:r>
    </w:p>
    <w:p>
      <w:pPr>
        <w:spacing w:after="120" w:before="80" w:line="276" w:lineRule="auto"/>
        <w:jc w:val="both"/>
      </w:pPr>
      <w:r>
        <w:rPr>
          <w:rFonts w:ascii="Arial" w:cs="Arial" w:eastAsia="Arial" w:hAnsi="Arial"/>
          <w:color w:val="1A1A1A"/>
          <w:sz w:val="22"/>
          <w:szCs w:val="22"/>
        </w:rPr>
        <w:t xml:space="preserve">Structural Condition: ψ₅ is doctrine-first, data-second. It encodes constitutional structure and authority relationships, not merely empirical correlation. Changes to ψ₅ edges require CUAP-level constitutional action.</w:t>
      </w:r>
    </w:p>
    <w:p>
      <w:pPr>
        <w:pStyle w:val="Heading2"/>
        <w:spacing w:after="160" w:before="360"/>
      </w:pPr>
      <w:r>
        <w:rPr>
          <w:rFonts w:ascii="Arial" w:cs="Arial" w:eastAsia="Arial" w:hAnsi="Arial"/>
          <w:b/>
          <w:bCs/>
          <w:color w:val="D81B87"/>
          <w:sz w:val="32"/>
          <w:szCs w:val="32"/>
        </w:rPr>
        <w:t xml:space="preserve">5.4 AI Systems as ψ-Mode Influence Sources</w:t>
      </w:r>
    </w:p>
    <w:p>
      <w:pPr>
        <w:spacing w:after="120" w:before="80" w:line="276" w:lineRule="auto"/>
        <w:jc w:val="both"/>
      </w:pPr>
      <w:r>
        <w:rPr>
          <w:rFonts w:ascii="Arial" w:cs="Arial" w:eastAsia="Arial" w:hAnsi="Arial"/>
          <w:color w:val="1A1A1A"/>
          <w:sz w:val="22"/>
          <w:szCs w:val="22"/>
        </w:rPr>
        <w:t xml:space="preserve">AI systems operating within or upon the societal manifold are classified as ψ-mode influence sources: subsystems whose aggregate effects on Σ_society(t) must satisfy UCD, PCSF, and JGES constraints. AI Constitutional Safety in ISA Fabric is the governance of AI systems at the ψ-mode level — measuring, classifying, and constraining their influence on the 72-domain manifold. The AI Influence Monitor and AI Drift Classification Engine (described in Chapter 11) provide the operational tools for this governance.</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6: Architectural Components</w:t>
      </w:r>
    </w:p>
    <w:p>
      <w:pPr>
        <w:pStyle w:val="Heading2"/>
        <w:spacing w:after="160" w:before="360"/>
      </w:pPr>
      <w:r>
        <w:rPr>
          <w:rFonts w:ascii="Arial" w:cs="Arial" w:eastAsia="Arial" w:hAnsi="Arial"/>
          <w:b/>
          <w:bCs/>
          <w:color w:val="D81B87"/>
          <w:sz w:val="32"/>
          <w:szCs w:val="32"/>
        </w:rPr>
        <w:t xml:space="preserve">6.1 Overview</w:t>
      </w:r>
    </w:p>
    <w:p>
      <w:pPr>
        <w:spacing w:after="120" w:before="80" w:line="276" w:lineRule="auto"/>
        <w:jc w:val="both"/>
      </w:pPr>
      <w:r>
        <w:rPr>
          <w:rFonts w:ascii="Arial" w:cs="Arial" w:eastAsia="Arial" w:hAnsi="Arial"/>
          <w:color w:val="1A1A1A"/>
          <w:sz w:val="22"/>
          <w:szCs w:val="22"/>
        </w:rPr>
        <w:t xml:space="preserve">ISA Fabric is composed of seven primary architectural layers, each formally specified and sealed against arbitrary modification. These layers interact through defined interfaces and are coordinated by the enforcement physiology of JGES.</w:t>
      </w:r>
    </w:p>
    <w:p>
      <w:pPr>
        <w:pStyle w:val="Heading2"/>
        <w:spacing w:after="160" w:before="360"/>
      </w:pPr>
      <w:r>
        <w:rPr>
          <w:rFonts w:ascii="Arial" w:cs="Arial" w:eastAsia="Arial" w:hAnsi="Arial"/>
          <w:b/>
          <w:bCs/>
          <w:color w:val="D81B87"/>
          <w:sz w:val="32"/>
          <w:szCs w:val="32"/>
        </w:rPr>
        <w:t xml:space="preserve">6.2 PCSF — The Four-Layer Validation Sequence</w:t>
      </w:r>
    </w:p>
    <w:p>
      <w:pPr>
        <w:spacing w:after="120" w:before="80" w:line="276" w:lineRule="auto"/>
        <w:jc w:val="both"/>
      </w:pPr>
      <w:r>
        <w:rPr>
          <w:rFonts w:ascii="Arial" w:cs="Arial" w:eastAsia="Arial" w:hAnsi="Arial"/>
          <w:color w:val="1A1A1A"/>
          <w:sz w:val="22"/>
          <w:szCs w:val="22"/>
        </w:rPr>
        <w:t xml:space="preserve">The PCSF (Proposal-Constraint-Safety-Finalize, or more precisely the four-layer constitutional validation sequence) is the constitutional filter through which every proposed state transition must pass. No transition in Σ(t) or Σ_society(t) can become effective without passing all four layers of PCSF validation. The four layers enforce: (1) admissibility against sealed definitions; (2) invariant preservation; (3) envelope compliance; and (4) lineage consistency. PCSF is the supreme constitutional authority — JGES is subordinate to and derived from PCSF, and may never override, reinterpret, weaken, or bypass it.</w:t>
      </w:r>
    </w:p>
    <w:p>
      <w:pPr>
        <w:pStyle w:val="Heading2"/>
        <w:spacing w:after="160" w:before="360"/>
      </w:pPr>
      <w:r>
        <w:rPr>
          <w:rFonts w:ascii="Arial" w:cs="Arial" w:eastAsia="Arial" w:hAnsi="Arial"/>
          <w:b/>
          <w:bCs/>
          <w:color w:val="D81B87"/>
          <w:sz w:val="32"/>
          <w:szCs w:val="32"/>
        </w:rPr>
        <w:t xml:space="preserve">6.3 Keyhole Geometry</w:t>
      </w:r>
    </w:p>
    <w:p>
      <w:pPr>
        <w:spacing w:after="120" w:before="80" w:line="276" w:lineRule="auto"/>
        <w:jc w:val="both"/>
      </w:pPr>
      <w:r>
        <w:rPr>
          <w:rFonts w:ascii="Arial" w:cs="Arial" w:eastAsia="Arial" w:hAnsi="Arial"/>
          <w:color w:val="1A1A1A"/>
          <w:sz w:val="22"/>
          <w:szCs w:val="22"/>
        </w:rPr>
        <w:t xml:space="preserve">The Keyhole Geometry is the structural form ensuring all constitutional transitions pass through PCSF. It is the architectural constraint that makes PCSF supremacy operational: every pathway from a proposed transition to an enacted state must pass through the PCSF keyhole. There are no side channels, bypass routes, or emergency exceptions that circumvent PCSF.</w:t>
      </w:r>
    </w:p>
    <w:p>
      <w:pPr>
        <w:pStyle w:val="Heading2"/>
        <w:spacing w:after="160" w:before="360"/>
      </w:pPr>
      <w:r>
        <w:rPr>
          <w:rFonts w:ascii="Arial" w:cs="Arial" w:eastAsia="Arial" w:hAnsi="Arial"/>
          <w:b/>
          <w:bCs/>
          <w:color w:val="D81B87"/>
          <w:sz w:val="32"/>
          <w:szCs w:val="32"/>
        </w:rPr>
        <w:t xml:space="preserve">6.4 MPAB — Multi-Path Adjudication Board</w:t>
      </w:r>
    </w:p>
    <w:p>
      <w:pPr>
        <w:spacing w:after="120" w:before="80" w:line="276" w:lineRule="auto"/>
        <w:jc w:val="both"/>
      </w:pPr>
      <w:r>
        <w:rPr>
          <w:rFonts w:ascii="Arial" w:cs="Arial" w:eastAsia="Arial" w:hAnsi="Arial"/>
          <w:color w:val="1A1A1A"/>
          <w:sz w:val="22"/>
          <w:szCs w:val="22"/>
        </w:rPr>
        <w:t xml:space="preserve">The MPAB is the constitutional adjudicator for ambiguous, adversarial, or multi-path transitions. When JGES encounters a transition that cannot be unilaterally resolved — because it involves competing interpretations, adversarial inputs, or genuinely ambiguous pathways — it routes the transition to MPAB. MPAB adjudicates; JGES enforces. JGES must never resolve ambiguity unilaterally, select among competing interpretations, or collapse multi-path transitions without MPAB adjudication.</w:t>
      </w:r>
    </w:p>
    <w:p>
      <w:pPr>
        <w:pStyle w:val="Heading2"/>
        <w:spacing w:after="160" w:before="360"/>
      </w:pPr>
      <w:r>
        <w:rPr>
          <w:rFonts w:ascii="Arial" w:cs="Arial" w:eastAsia="Arial" w:hAnsi="Arial"/>
          <w:b/>
          <w:bCs/>
          <w:color w:val="D81B87"/>
          <w:sz w:val="32"/>
          <w:szCs w:val="32"/>
        </w:rPr>
        <w:t xml:space="preserve">6.5 Triptych Memory Substrate</w:t>
      </w:r>
    </w:p>
    <w:p>
      <w:pPr>
        <w:spacing w:after="120" w:before="80" w:line="276" w:lineRule="auto"/>
        <w:jc w:val="both"/>
      </w:pPr>
      <w:r>
        <w:rPr>
          <w:rFonts w:ascii="Arial" w:cs="Arial" w:eastAsia="Arial" w:hAnsi="Arial"/>
          <w:color w:val="1A1A1A"/>
          <w:sz w:val="22"/>
          <w:szCs w:val="22"/>
        </w:rPr>
        <w:t xml:space="preserve">The Triptych is the cognitive memory substrate of ISA Fabric, consisting of three distinct layers:</w:t>
      </w:r>
    </w:p>
    <w:p>
      <w:pPr>
        <w:pStyle w:val="ListParagraph"/>
        <w:numPr>
          <w:ilvl w:val="0"/>
          <w:numId w:val="2"/>
        </w:numPr>
        <w:spacing w:after="40" w:before="40" w:line="260" w:lineRule="auto"/>
      </w:pPr>
      <w:r>
        <w:rPr>
          <w:rFonts w:ascii="Arial" w:cs="Arial" w:eastAsia="Arial" w:hAnsi="Arial"/>
          <w:color w:val="1A1A1A"/>
          <w:sz w:val="22"/>
          <w:szCs w:val="22"/>
        </w:rPr>
        <w:t xml:space="preserve">Mens (Semantic Memory): stores threat patterns, interpretive constraints, and constitutional knowledge about influence semantics and adversarial patterns</w:t>
      </w:r>
    </w:p>
    <w:p>
      <w:pPr>
        <w:pStyle w:val="ListParagraph"/>
        <w:numPr>
          <w:ilvl w:val="0"/>
          <w:numId w:val="2"/>
        </w:numPr>
        <w:spacing w:after="40" w:before="40" w:line="260" w:lineRule="auto"/>
      </w:pPr>
      <w:r>
        <w:rPr>
          <w:rFonts w:ascii="Arial" w:cs="Arial" w:eastAsia="Arial" w:hAnsi="Arial"/>
          <w:color w:val="1A1A1A"/>
          <w:sz w:val="22"/>
          <w:szCs w:val="22"/>
        </w:rPr>
        <w:t xml:space="preserve">Corpus (Structural Memory): stores invariants, sealed definitions, structural rules, and the formal constitutional architecture</w:t>
      </w:r>
    </w:p>
    <w:p>
      <w:pPr>
        <w:pStyle w:val="ListParagraph"/>
        <w:numPr>
          <w:ilvl w:val="0"/>
          <w:numId w:val="2"/>
        </w:numPr>
        <w:spacing w:after="40" w:before="40" w:line="260" w:lineRule="auto"/>
      </w:pPr>
      <w:r>
        <w:rPr>
          <w:rFonts w:ascii="Arial" w:cs="Arial" w:eastAsia="Arial" w:hAnsi="Arial"/>
          <w:color w:val="1A1A1A"/>
          <w:sz w:val="22"/>
          <w:szCs w:val="22"/>
        </w:rPr>
        <w:t xml:space="preserve">Anima (Failure Memory): stores failure modes, divergence logic, hysteresis patterns, and lineage-derived insights</w:t>
      </w:r>
    </w:p>
    <w:p>
      <w:pPr>
        <w:spacing w:after="120" w:before="80" w:line="276" w:lineRule="auto"/>
        <w:jc w:val="both"/>
      </w:pPr>
      <w:r>
        <w:rPr>
          <w:rFonts w:ascii="Arial" w:cs="Arial" w:eastAsia="Arial" w:hAnsi="Arial"/>
          <w:color w:val="1A1A1A"/>
          <w:sz w:val="22"/>
          <w:szCs w:val="22"/>
        </w:rPr>
        <w:t xml:space="preserve">The Triptych is the knowledge substrate from which JGES, PCSF, and MPAB draw constitutional understanding. Critically, JGES may read from the Triptych but must never modify it or store memory within it. This preserves the separation of action (JGES) and knowledge (Triptych).</w:t>
      </w:r>
    </w:p>
    <w:p>
      <w:pPr>
        <w:pStyle w:val="Heading2"/>
        <w:spacing w:after="160" w:before="360"/>
      </w:pPr>
      <w:r>
        <w:rPr>
          <w:rFonts w:ascii="Arial" w:cs="Arial" w:eastAsia="Arial" w:hAnsi="Arial"/>
          <w:b/>
          <w:bCs/>
          <w:color w:val="D81B87"/>
          <w:sz w:val="32"/>
          <w:szCs w:val="32"/>
        </w:rPr>
        <w:t xml:space="preserve">6.6 NatSpec++ Interpretive Annotation Layer</w:t>
      </w:r>
    </w:p>
    <w:p>
      <w:pPr>
        <w:spacing w:after="120" w:before="80" w:line="276" w:lineRule="auto"/>
        <w:jc w:val="both"/>
      </w:pPr>
      <w:r>
        <w:rPr>
          <w:rFonts w:ascii="Arial" w:cs="Arial" w:eastAsia="Arial" w:hAnsi="Arial"/>
          <w:color w:val="1A1A1A"/>
          <w:sz w:val="22"/>
          <w:szCs w:val="22"/>
        </w:rPr>
        <w:t xml:space="preserve">NatSpec++ is the interpretive annotation layer that provides human-readable, formally linked commentary on constitutional definitions, invariants, and enforcement actions. It enables transparency, auditability, and democratic engagement with constitutional mathematics by annotating the formal substrate with natural language explanations that are themselves semantically committed.</w:t>
      </w:r>
    </w:p>
    <w:p>
      <w:pPr>
        <w:pStyle w:val="Heading2"/>
        <w:spacing w:after="160" w:before="360"/>
      </w:pPr>
      <w:r>
        <w:rPr>
          <w:rFonts w:ascii="Arial" w:cs="Arial" w:eastAsia="Arial" w:hAnsi="Arial"/>
          <w:b/>
          <w:bCs/>
          <w:color w:val="D81B87"/>
          <w:sz w:val="32"/>
          <w:szCs w:val="32"/>
        </w:rPr>
        <w:t xml:space="preserve">6.7 The Ξ Sensitivity Field</w:t>
      </w:r>
    </w:p>
    <w:p>
      <w:pPr>
        <w:spacing w:after="120" w:before="80" w:line="276" w:lineRule="auto"/>
        <w:jc w:val="both"/>
      </w:pPr>
      <w:r>
        <w:rPr>
          <w:rFonts w:ascii="Arial" w:cs="Arial" w:eastAsia="Arial" w:hAnsi="Arial"/>
          <w:color w:val="1A1A1A"/>
          <w:sz w:val="22"/>
          <w:szCs w:val="22"/>
        </w:rPr>
        <w:t xml:space="preserve">The Ξ Sensitivity Field is a scalar field over the societal manifold that measures temporal coherence and drift sensitivity at each domain. High Ξ values indicate that a domain is in a sensitive region of the constitutional state space — where small perturbations may produce large trajectory changes. The Ξ field is a key input to the FMEWS and to JGES drift monitoring.</w:t>
      </w:r>
    </w:p>
    <w:p>
      <w:pPr>
        <w:pStyle w:val="Heading2"/>
        <w:spacing w:after="160" w:before="360"/>
      </w:pPr>
      <w:r>
        <w:rPr>
          <w:rFonts w:ascii="Arial" w:cs="Arial" w:eastAsia="Arial" w:hAnsi="Arial"/>
          <w:b/>
          <w:bCs/>
          <w:color w:val="D81B87"/>
          <w:sz w:val="32"/>
          <w:szCs w:val="32"/>
        </w:rPr>
        <w:t xml:space="preserve">6.8 Constitutional Epidemiology</w:t>
      </w:r>
    </w:p>
    <w:p>
      <w:pPr>
        <w:spacing w:after="120" w:before="80" w:line="276" w:lineRule="auto"/>
        <w:jc w:val="both"/>
      </w:pPr>
      <w:r>
        <w:rPr>
          <w:rFonts w:ascii="Arial" w:cs="Arial" w:eastAsia="Arial" w:hAnsi="Arial"/>
          <w:color w:val="1A1A1A"/>
          <w:sz w:val="22"/>
          <w:szCs w:val="22"/>
        </w:rPr>
        <w:t xml:space="preserve">Constitutional Epidemiology is the formal study of societal failure propagation using two key metrics: R₀_const (the Constitutional Reproduction Number, the expected number of domains driven to degradation by a failure in one domain) and H_const (the Constitutional Herd Immunity Threshold, the minimum fraction of GREEN domains required for natural failure containment without external intervention). These metrics are computed from the Influence Tensor and SDRS data, and are publicly reported via the ZK-Verified Dashboard.</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7: The Societal Data Registry Server (SDRS)</w:t>
      </w:r>
    </w:p>
    <w:p>
      <w:pPr>
        <w:pStyle w:val="Heading2"/>
        <w:spacing w:after="160" w:before="360"/>
      </w:pPr>
      <w:r>
        <w:rPr>
          <w:rFonts w:ascii="Arial" w:cs="Arial" w:eastAsia="Arial" w:hAnsi="Arial"/>
          <w:b/>
          <w:bCs/>
          <w:color w:val="D81B87"/>
          <w:sz w:val="32"/>
          <w:szCs w:val="32"/>
        </w:rPr>
        <w:t xml:space="preserve">7.1 SDR vs. SDRS: Specification and Implementation</w:t>
      </w:r>
    </w:p>
    <w:p>
      <w:pPr>
        <w:spacing w:after="120" w:before="80" w:line="276" w:lineRule="auto"/>
        <w:jc w:val="both"/>
      </w:pPr>
      <w:r>
        <w:rPr>
          <w:rFonts w:ascii="Arial" w:cs="Arial" w:eastAsia="Arial" w:hAnsi="Arial"/>
          <w:color w:val="1A1A1A"/>
          <w:sz w:val="22"/>
          <w:szCs w:val="22"/>
        </w:rPr>
        <w:t xml:space="preserve">The Societal Data Registry (SDR) is the constitutional artifact — the registry schema, ingestion rules, connector metadata, lineage commitments, and constitutional constraints on data admissibility. The SDR is a formal specification. The Societal Data Registry Server (SDRS) is the operational server that implements the SDR: the running system that ingests data, validates it through PCSF, stores it, exposes it to Σ_society(t), maintains lineage, enforces cadence rules, handles multi-source connectors, and performs cryptographic commitments.</w:t>
      </w:r>
    </w:p>
    <w:p>
      <w:pPr>
        <w:spacing w:after="120" w:before="80" w:line="276" w:lineRule="auto"/>
        <w:jc w:val="both"/>
      </w:pPr>
      <w:r>
        <w:rPr>
          <w:rFonts w:ascii="Arial" w:cs="Arial" w:eastAsia="Arial" w:hAnsi="Arial"/>
          <w:color w:val="1A1A1A"/>
          <w:sz w:val="22"/>
          <w:szCs w:val="22"/>
        </w:rPr>
        <w:t xml:space="preserve">This distinction mirrors the architecture-wide pattern: Genesis Governance (constitutional law) versus the Enforcement Engine (operational physiology); Σ(t) (constitutional state) versus the State Server (operational state machine); BLVDB (constitutional lineage definition) versus the BLVDB Server (operational append-only ledger).</w:t>
      </w:r>
    </w:p>
    <w:p>
      <w:pPr>
        <w:pStyle w:val="Heading2"/>
        <w:spacing w:after="160" w:before="360"/>
      </w:pPr>
      <w:r>
        <w:rPr>
          <w:rFonts w:ascii="Arial" w:cs="Arial" w:eastAsia="Arial" w:hAnsi="Arial"/>
          <w:b/>
          <w:bCs/>
          <w:color w:val="D81B87"/>
          <w:sz w:val="32"/>
          <w:szCs w:val="32"/>
        </w:rPr>
        <w:t xml:space="preserve">7.2 SDRS Architecture: Seven Subsystems</w:t>
      </w:r>
    </w:p>
    <w:p>
      <w:pPr>
        <w:spacing w:after="120" w:before="80" w:line="276" w:lineRule="auto"/>
        <w:jc w:val="both"/>
      </w:pPr>
      <w:r>
        <w:rPr>
          <w:rFonts w:ascii="Arial" w:cs="Arial" w:eastAsia="Arial" w:hAnsi="Arial"/>
          <w:color w:val="1A1A1A"/>
          <w:sz w:val="22"/>
          <w:szCs w:val="22"/>
        </w:rPr>
        <w:t xml:space="preserve">The SDRS consists of seven canonical subsystems: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Subsystem</w:t>
            </w:r>
          </w:p>
        </w:tc>
        <w:tc>
          <w:tcPr>
            <w:tcW w:type="dxa" w:w="716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Function</w:t>
            </w:r>
          </w:p>
        </w:tc>
      </w:tr>
      <w:tr>
        <w:trPr>
          <w:tblHeader w:val="false"/>
        </w:trPr>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A. Ingestion Engine</w:t>
            </w:r>
          </w:p>
        </w:tc>
        <w:tc>
          <w:tcPr>
            <w:tcW w:type="dxa" w:w="71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Multi-cadence connectors, domain-specific pipelines, data normalization, error handling, and temporal alignment.</w:t>
            </w:r>
          </w:p>
        </w:tc>
      </w:tr>
      <w:tr>
        <w:trPr>
          <w:tblHeader w:val="false"/>
        </w:trPr>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B. PCSF Validation Layer</w:t>
            </w:r>
          </w:p>
        </w:tc>
        <w:tc>
          <w:tcPr>
            <w:tcW w:type="dxa" w:w="71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Admissibility checks, schema enforcement, constitutional constraints, and domain-level invariant verification.</w:t>
            </w:r>
          </w:p>
        </w:tc>
      </w:tr>
      <w:tr>
        <w:trPr>
          <w:tblHeader w:val="false"/>
        </w:trPr>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C. Lineage Commitment Layer</w:t>
            </w:r>
          </w:p>
        </w:tc>
        <w:tc>
          <w:tcPr>
            <w:tcW w:type="dxa" w:w="71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BLVDB write-through, hash-linked commitments, and immutable historical record.</w:t>
            </w:r>
          </w:p>
        </w:tc>
      </w:tr>
      <w:tr>
        <w:trPr>
          <w:tblHeader w:val="false"/>
        </w:trPr>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D. Tensor Preparation Layer</w:t>
            </w:r>
          </w:p>
        </w:tc>
        <w:tc>
          <w:tcPr>
            <w:tcW w:type="dxa" w:w="71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ψ-mode extraction, domain-level influence metrics, and propagation-ready state vectors.</w:t>
            </w:r>
          </w:p>
        </w:tc>
      </w:tr>
      <w:tr>
        <w:trPr>
          <w:tblHeader w:val="false"/>
        </w:trPr>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E. Σ_society(t) Update Engine</w:t>
            </w:r>
          </w:p>
        </w:tc>
        <w:tc>
          <w:tcPr>
            <w:tcW w:type="dxa" w:w="71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Applies the tensor propagation law, updates domain values, computes drift classifications, and updates curvature and envelopes.</w:t>
            </w:r>
          </w:p>
        </w:tc>
      </w:tr>
      <w:tr>
        <w:trPr>
          <w:tblHeader w:val="false"/>
        </w:trPr>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 Enforcement Interface (JGES)</w:t>
            </w:r>
          </w:p>
        </w:tc>
        <w:tc>
          <w:tcPr>
            <w:tcW w:type="dxa" w:w="71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Exposes domain metrics to JGES, receives enforcement actions, and logs interventions.</w:t>
            </w:r>
          </w:p>
        </w:tc>
      </w:tr>
      <w:tr>
        <w:trPr>
          <w:tblHeader w:val="false"/>
        </w:trPr>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G. Public-Facing ZK Layer</w:t>
            </w:r>
          </w:p>
        </w:tc>
        <w:tc>
          <w:tcPr>
            <w:tcW w:type="dxa" w:w="71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Generates zero-knowledge proofs, supports transparency dashboards, and ensures privacy-preserving correctness.</w:t>
            </w:r>
          </w:p>
        </w:tc>
      </w:tr>
    </w:tbl>
    <w:p>
      <w:pPr>
        <w:spacing w:after="120" w:before="40"/>
        <w:jc w:val="center"/>
      </w:pPr>
      <w:r>
        <w:rPr>
          <w:rFonts w:ascii="Arial" w:cs="Arial" w:eastAsia="Arial" w:hAnsi="Arial"/>
          <w:i/>
          <w:iCs/>
          <w:color w:val="777777"/>
          <w:sz w:val="18"/>
          <w:szCs w:val="18"/>
        </w:rPr>
        <w:t xml:space="preserve">Table 7.1 — SDRS Subsystem Architecture</w:t>
      </w:r>
    </w:p>
    <w:p>
      <w:pPr>
        <w:spacing w:after="80" w:before="80"/>
      </w:pPr>
      <w:r>
        <w:t xml:space="preserve"/>
      </w:r>
    </w:p>
    <w:p>
      <w:pPr>
        <w:pStyle w:val="Heading2"/>
        <w:spacing w:after="160" w:before="360"/>
      </w:pPr>
      <w:r>
        <w:rPr>
          <w:rFonts w:ascii="Arial" w:cs="Arial" w:eastAsia="Arial" w:hAnsi="Arial"/>
          <w:b/>
          <w:bCs/>
          <w:color w:val="D81B87"/>
          <w:sz w:val="32"/>
          <w:szCs w:val="32"/>
        </w:rPr>
        <w:t xml:space="preserve">7.3 SDRS Connectivity</w:t>
      </w:r>
    </w:p>
    <w:p>
      <w:pPr>
        <w:spacing w:after="120" w:before="80" w:line="276" w:lineRule="auto"/>
        <w:jc w:val="both"/>
      </w:pPr>
      <w:r>
        <w:rPr>
          <w:rFonts w:ascii="Arial" w:cs="Arial" w:eastAsia="Arial" w:hAnsi="Arial"/>
          <w:color w:val="1A1A1A"/>
          <w:sz w:val="22"/>
          <w:szCs w:val="22"/>
        </w:rPr>
        <w:t xml:space="preserve">The SDRS is the hub of the societal projection layer, connecting: SDR → SDRS (specification → implementation), SDRS → Σ_society(t) (data → manifold), SDRS → JGES (metrics → enforcement), SDRS → BLVDB (lineage → commitments), SDRS → Tensor Library (ψ-modes → propagation), SDRS → TS CLI (operational control), SDRS → Lean 4 CLI (formal verification), and SDRS → Transparency Portal (ZK-verified public metrics). It is the central nervous system of the societal layer.</w:t>
      </w:r>
    </w:p>
    <w:p>
      <w:pPr>
        <w:pStyle w:val="Heading2"/>
        <w:spacing w:after="160" w:before="360"/>
      </w:pPr>
      <w:r>
        <w:rPr>
          <w:rFonts w:ascii="Arial" w:cs="Arial" w:eastAsia="Arial" w:hAnsi="Arial"/>
          <w:b/>
          <w:bCs/>
          <w:color w:val="D81B87"/>
          <w:sz w:val="32"/>
          <w:szCs w:val="32"/>
        </w:rPr>
        <w:t xml:space="preserve">7.4 Why the SDRS Is Historically Significant</w:t>
      </w:r>
    </w:p>
    <w:p>
      <w:pPr>
        <w:spacing w:after="120" w:before="80" w:line="276" w:lineRule="auto"/>
        <w:jc w:val="both"/>
      </w:pPr>
      <w:r>
        <w:rPr>
          <w:rFonts w:ascii="Arial" w:cs="Arial" w:eastAsia="Arial" w:hAnsi="Arial"/>
          <w:color w:val="1A1A1A"/>
          <w:sz w:val="22"/>
          <w:szCs w:val="22"/>
        </w:rPr>
        <w:t xml:space="preserve">Once the SDRS is live: Σ_society(t) becomes a real-time governed manifold; forecasting becomes mathematically grounded; failure modes become detectable before they occur; constitutional amendments become simulatable; AI governance becomes measurable; public transparency becomes cryptographically verifiable; and governance becomes a computational discipline. The SDRS is the bridge between constitutional mathematics and real-world governance.</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8: Block Lineage Verification Database (BLVDB)</w:t>
      </w:r>
    </w:p>
    <w:p>
      <w:pPr>
        <w:pStyle w:val="Heading2"/>
        <w:spacing w:after="160" w:before="360"/>
      </w:pPr>
      <w:r>
        <w:rPr>
          <w:rFonts w:ascii="Arial" w:cs="Arial" w:eastAsia="Arial" w:hAnsi="Arial"/>
          <w:b/>
          <w:bCs/>
          <w:color w:val="D81B87"/>
          <w:sz w:val="32"/>
          <w:szCs w:val="32"/>
        </w:rPr>
        <w:t xml:space="preserve">8.1 Definition</w:t>
      </w:r>
    </w:p>
    <w:p>
      <w:pPr>
        <w:spacing w:after="120" w:before="80" w:line="276" w:lineRule="auto"/>
        <w:jc w:val="both"/>
      </w:pPr>
      <w:r>
        <w:rPr>
          <w:rFonts w:ascii="Arial" w:cs="Arial" w:eastAsia="Arial" w:hAnsi="Arial"/>
          <w:color w:val="1A1A1A"/>
          <w:sz w:val="22"/>
          <w:szCs w:val="22"/>
        </w:rPr>
        <w:t xml:space="preserve">The Block Lineage Verification Database (BLVDB) is the forensic, replay-verifiable event ledger of ISA Fabric. It is the black box flight recorder of the constitutional governance system, recording every PCSF-validated transition with full provenance. It records what happened, when it happened, who caused it, and why it was allowed or denied.</w:t>
      </w:r>
    </w:p>
    <w:p>
      <w:pPr>
        <w:pStyle w:val="Heading2"/>
        <w:spacing w:after="160" w:before="360"/>
      </w:pPr>
      <w:r>
        <w:rPr>
          <w:rFonts w:ascii="Arial" w:cs="Arial" w:eastAsia="Arial" w:hAnsi="Arial"/>
          <w:b/>
          <w:bCs/>
          <w:color w:val="D81B87"/>
          <w:sz w:val="32"/>
          <w:szCs w:val="32"/>
        </w:rPr>
        <w:t xml:space="preserve">8.2 What BLVDB Stores</w:t>
      </w:r>
    </w:p>
    <w:p>
      <w:pPr>
        <w:spacing w:after="120" w:before="80" w:line="276" w:lineRule="auto"/>
        <w:jc w:val="both"/>
      </w:pPr>
      <w:r>
        <w:rPr>
          <w:rFonts w:ascii="Arial" w:cs="Arial" w:eastAsia="Arial" w:hAnsi="Arial"/>
          <w:color w:val="1A1A1A"/>
          <w:sz w:val="22"/>
          <w:szCs w:val="22"/>
        </w:rPr>
        <w:t xml:space="preserve">BLVDB stores, at minimum, the following for every PCSF-validated transition:</w:t>
      </w:r>
    </w:p>
    <w:p>
      <w:pPr>
        <w:pStyle w:val="ListParagraph"/>
        <w:numPr>
          <w:ilvl w:val="0"/>
          <w:numId w:val="2"/>
        </w:numPr>
        <w:spacing w:after="40" w:before="40" w:line="260" w:lineRule="auto"/>
      </w:pPr>
      <w:r>
        <w:rPr>
          <w:rFonts w:ascii="Arial" w:cs="Arial" w:eastAsia="Arial" w:hAnsi="Arial"/>
          <w:color w:val="1A1A1A"/>
          <w:sz w:val="22"/>
          <w:szCs w:val="22"/>
        </w:rPr>
        <w:t xml:space="preserve">Accepted transitions and rejected transitions</w:t>
      </w:r>
    </w:p>
    <w:p>
      <w:pPr>
        <w:pStyle w:val="ListParagraph"/>
        <w:numPr>
          <w:ilvl w:val="0"/>
          <w:numId w:val="2"/>
        </w:numPr>
        <w:spacing w:after="40" w:before="40" w:line="260" w:lineRule="auto"/>
      </w:pPr>
      <w:r>
        <w:rPr>
          <w:rFonts w:ascii="Arial" w:cs="Arial" w:eastAsia="Arial" w:hAnsi="Arial"/>
          <w:color w:val="1A1A1A"/>
          <w:sz w:val="22"/>
          <w:szCs w:val="22"/>
        </w:rPr>
        <w:t xml:space="preserve">MPAB decisions and adjudication outcomes</w:t>
      </w:r>
    </w:p>
    <w:p>
      <w:pPr>
        <w:pStyle w:val="ListParagraph"/>
        <w:numPr>
          <w:ilvl w:val="0"/>
          <w:numId w:val="2"/>
        </w:numPr>
        <w:spacing w:after="40" w:before="40" w:line="260" w:lineRule="auto"/>
      </w:pPr>
      <w:r>
        <w:rPr>
          <w:rFonts w:ascii="Arial" w:cs="Arial" w:eastAsia="Arial" w:hAnsi="Arial"/>
          <w:color w:val="1A1A1A"/>
          <w:sz w:val="22"/>
          <w:szCs w:val="22"/>
        </w:rPr>
        <w:t xml:space="preserve">JGES drift markers and classification events</w:t>
      </w:r>
    </w:p>
    <w:p>
      <w:pPr>
        <w:pStyle w:val="ListParagraph"/>
        <w:numPr>
          <w:ilvl w:val="0"/>
          <w:numId w:val="2"/>
        </w:numPr>
        <w:spacing w:after="40" w:before="40" w:line="260" w:lineRule="auto"/>
      </w:pPr>
      <w:r>
        <w:rPr>
          <w:rFonts w:ascii="Arial" w:cs="Arial" w:eastAsia="Arial" w:hAnsi="Arial"/>
          <w:color w:val="1A1A1A"/>
          <w:sz w:val="22"/>
          <w:szCs w:val="22"/>
        </w:rPr>
        <w:t xml:space="preserve">Envelope context at the time of the transition</w:t>
      </w:r>
    </w:p>
    <w:p>
      <w:pPr>
        <w:pStyle w:val="ListParagraph"/>
        <w:numPr>
          <w:ilvl w:val="0"/>
          <w:numId w:val="2"/>
        </w:numPr>
        <w:spacing w:after="40" w:before="40" w:line="260" w:lineRule="auto"/>
      </w:pPr>
      <w:r>
        <w:rPr>
          <w:rFonts w:ascii="Arial" w:cs="Arial" w:eastAsia="Arial" w:hAnsi="Arial"/>
          <w:color w:val="1A1A1A"/>
          <w:sz w:val="22"/>
          <w:szCs w:val="22"/>
        </w:rPr>
        <w:t xml:space="preserve">Actor identity (cryptographically committed)</w:t>
      </w:r>
    </w:p>
    <w:p>
      <w:pPr>
        <w:pStyle w:val="ListParagraph"/>
        <w:numPr>
          <w:ilvl w:val="0"/>
          <w:numId w:val="2"/>
        </w:numPr>
        <w:spacing w:after="40" w:before="40" w:line="260" w:lineRule="auto"/>
      </w:pPr>
      <w:r>
        <w:rPr>
          <w:rFonts w:ascii="Arial" w:cs="Arial" w:eastAsia="Arial" w:hAnsi="Arial"/>
          <w:color w:val="1A1A1A"/>
          <w:sz w:val="22"/>
          <w:szCs w:val="22"/>
        </w:rPr>
        <w:t xml:space="preserve">Timestamp (sealed and immutable)</w:t>
      </w:r>
    </w:p>
    <w:p>
      <w:pPr>
        <w:pStyle w:val="ListParagraph"/>
        <w:numPr>
          <w:ilvl w:val="0"/>
          <w:numId w:val="2"/>
        </w:numPr>
        <w:spacing w:after="40" w:before="40" w:line="260" w:lineRule="auto"/>
      </w:pPr>
      <w:r>
        <w:rPr>
          <w:rFonts w:ascii="Arial" w:cs="Arial" w:eastAsia="Arial" w:hAnsi="Arial"/>
          <w:color w:val="1A1A1A"/>
          <w:sz w:val="22"/>
          <w:szCs w:val="22"/>
        </w:rPr>
        <w:t xml:space="preserve">Reason codes (constitutional justification for each decision)</w:t>
      </w:r>
    </w:p>
    <w:p>
      <w:pPr>
        <w:pStyle w:val="ListParagraph"/>
        <w:numPr>
          <w:ilvl w:val="0"/>
          <w:numId w:val="2"/>
        </w:numPr>
        <w:spacing w:after="40" w:before="40" w:line="260" w:lineRule="auto"/>
      </w:pPr>
      <w:r>
        <w:rPr>
          <w:rFonts w:ascii="Arial" w:cs="Arial" w:eastAsia="Arial" w:hAnsi="Arial"/>
          <w:color w:val="1A1A1A"/>
          <w:sz w:val="22"/>
          <w:szCs w:val="22"/>
        </w:rPr>
        <w:t xml:space="preserve">Proof bundles (Lean 4 certificates of constitutional validity, ZK-exportable)</w:t>
      </w:r>
    </w:p>
    <w:p>
      <w:pPr>
        <w:pStyle w:val="Heading2"/>
        <w:spacing w:after="160" w:before="360"/>
      </w:pPr>
      <w:r>
        <w:rPr>
          <w:rFonts w:ascii="Arial" w:cs="Arial" w:eastAsia="Arial" w:hAnsi="Arial"/>
          <w:b/>
          <w:bCs/>
          <w:color w:val="D81B87"/>
          <w:sz w:val="32"/>
          <w:szCs w:val="32"/>
        </w:rPr>
        <w:t xml:space="preserve">8.3 Key Properties</w:t>
      </w:r>
    </w:p>
    <w:p>
      <w:pPr>
        <w:spacing w:after="120" w:before="80" w:line="276" w:lineRule="auto"/>
        <w:jc w:val="both"/>
      </w:pPr>
      <w:r>
        <w:rPr>
          <w:rFonts w:ascii="Arial" w:cs="Arial" w:eastAsia="Arial" w:hAnsi="Arial"/>
          <w:color w:val="1A1A1A"/>
          <w:sz w:val="22"/>
          <w:szCs w:val="22"/>
        </w:rPr>
        <w:t xml:space="preserve">BLVDB is governed by four constitutional properties: it is Historical (maintains a complete chronological record from genesis), Immutable (no record may be altered or deleted after commitment), Linear (transitions are ordered in a single canonical sequence), and Event-Driven (every constitutional event is committed atomically with its full context).</w:t>
      </w:r>
    </w:p>
    <w:p>
      <w:pPr>
        <w:pStyle w:val="Heading2"/>
        <w:spacing w:after="160" w:before="360"/>
      </w:pPr>
      <w:r>
        <w:rPr>
          <w:rFonts w:ascii="Arial" w:cs="Arial" w:eastAsia="Arial" w:hAnsi="Arial"/>
          <w:b/>
          <w:bCs/>
          <w:color w:val="D81B87"/>
          <w:sz w:val="32"/>
          <w:szCs w:val="32"/>
        </w:rPr>
        <w:t xml:space="preserve">8.4 Relationship to the Triptych</w:t>
      </w:r>
    </w:p>
    <w:p>
      <w:pPr>
        <w:spacing w:after="120" w:before="80" w:line="276" w:lineRule="auto"/>
        <w:jc w:val="both"/>
      </w:pPr>
      <w:r>
        <w:rPr>
          <w:rFonts w:ascii="Arial" w:cs="Arial" w:eastAsia="Arial" w:hAnsi="Arial"/>
          <w:color w:val="1A1A1A"/>
          <w:sz w:val="22"/>
          <w:szCs w:val="22"/>
        </w:rPr>
        <w:t xml:space="preserve">BLVDB and the Triptych represent complementary but distinct epistemic layers: BLVDB answers “what happened” (chronological, cryptographically committed, replay-verifiable event log), while the Triptych answers “what the system knows” (internal cognitive memory: threats, invariants, failure modes, introspective structure). They interact but do not overlap. BLVDB feeds Anima with lineage and divergence information. The Triptych informs JGES, PCSF, and MPAB with semantic and structural knowledge.</w:t>
      </w:r>
    </w:p>
    <w:p>
      <w:pPr>
        <w:pStyle w:val="Heading2"/>
        <w:spacing w:after="160" w:before="360"/>
      </w:pPr>
      <w:r>
        <w:rPr>
          <w:rFonts w:ascii="Arial" w:cs="Arial" w:eastAsia="Arial" w:hAnsi="Arial"/>
          <w:b/>
          <w:bCs/>
          <w:color w:val="D81B87"/>
          <w:sz w:val="32"/>
          <w:szCs w:val="32"/>
        </w:rPr>
        <w:t xml:space="preserve">8.5 Distributed BLVDB</w:t>
      </w:r>
    </w:p>
    <w:p>
      <w:pPr>
        <w:spacing w:after="120" w:before="80" w:line="276" w:lineRule="auto"/>
        <w:jc w:val="both"/>
      </w:pPr>
      <w:r>
        <w:rPr>
          <w:rFonts w:ascii="Arial" w:cs="Arial" w:eastAsia="Arial" w:hAnsi="Arial"/>
          <w:color w:val="1A1A1A"/>
          <w:sz w:val="22"/>
          <w:szCs w:val="22"/>
        </w:rPr>
        <w:t xml:space="preserve">A multi-node version of BLVDB preserves the append-only lineage with resilience across distributed infrastructure. The distributed architecture maintains constitutional integrity: all nodes must agree on the canonical lineage sequence, and no node may introduce a branch or fork without CUAP-level authorization.</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9: JGES — Jurisdictional Governance Enforcement System</w:t>
      </w:r>
    </w:p>
    <w:p>
      <w:pPr>
        <w:pStyle w:val="Heading2"/>
        <w:spacing w:after="160" w:before="360"/>
      </w:pPr>
      <w:r>
        <w:rPr>
          <w:rFonts w:ascii="Arial" w:cs="Arial" w:eastAsia="Arial" w:hAnsi="Arial"/>
          <w:b/>
          <w:bCs/>
          <w:color w:val="D81B87"/>
          <w:sz w:val="32"/>
          <w:szCs w:val="32"/>
        </w:rPr>
        <w:t xml:space="preserve">9.1 Identity and Constitutional Role</w:t>
      </w:r>
    </w:p>
    <w:p>
      <w:pPr>
        <w:spacing w:after="120" w:before="80" w:line="276" w:lineRule="auto"/>
        <w:jc w:val="both"/>
      </w:pPr>
      <w:r>
        <w:rPr>
          <w:rFonts w:ascii="Arial" w:cs="Arial" w:eastAsia="Arial" w:hAnsi="Arial"/>
          <w:color w:val="1A1A1A"/>
          <w:sz w:val="22"/>
          <w:szCs w:val="22"/>
        </w:rPr>
        <w:t xml:space="preserve">JGES is the constitutional enforcement physiology of ISA Fabric. It is the subsystem responsible for ensuring that all transitions within Σ(t) and Σ_society(t) remain within the lawful, invariant-preserving region defined by the constitutional corpus.</w:t>
      </w:r>
    </w:p>
    <w:p>
      <w:pPr>
        <w:spacing w:after="120" w:before="80" w:line="276" w:lineRule="auto"/>
        <w:jc w:val="both"/>
      </w:pPr>
      <w:r>
        <w:rPr>
          <w:rFonts w:ascii="Arial" w:cs="Arial" w:eastAsia="Arial" w:hAnsi="Arial"/>
          <w:color w:val="1A1A1A"/>
          <w:sz w:val="22"/>
          <w:szCs w:val="22"/>
        </w:rPr>
        <w:t xml:space="preserve">At the formal layer (Lean 4), JGES is expressed as the repair operator: a function that takes a drifted, invalid, or constitutionally non-compliant state and returns the nearest valid state, accompanied by a proof bundle certifying the repair. At the operational layer (runtime), JGES is the enforcement engine that detects drift, evaluates transitions, applies constitutional operators, routes ambiguous cases through MPAB, and commits all enforcement actions to BLVDB. These two layers are mathematically identical: the repair operator is the formalization of enforcement.</w:t>
      </w:r>
    </w:p>
    <w:p>
      <w:pPr>
        <w:pStyle w:val="Heading2"/>
        <w:spacing w:after="160" w:before="360"/>
      </w:pPr>
      <w:r>
        <w:rPr>
          <w:rFonts w:ascii="Arial" w:cs="Arial" w:eastAsia="Arial" w:hAnsi="Arial"/>
          <w:b/>
          <w:bCs/>
          <w:color w:val="D81B87"/>
          <w:sz w:val="32"/>
          <w:szCs w:val="32"/>
        </w:rPr>
        <w:t xml:space="preserve">9.2 Four Core Functions of JGES</w:t>
      </w:r>
    </w:p>
    <w:p>
      <w:pPr>
        <w:spacing w:after="120" w:before="80" w:line="276" w:lineRule="auto"/>
        <w:jc w:val="both"/>
      </w:pPr>
      <w:r>
        <w:rPr>
          <w:rFonts w:ascii="Arial" w:cs="Arial" w:eastAsia="Arial" w:hAnsi="Arial"/>
          <w:color w:val="1A1A1A"/>
          <w:sz w:val="22"/>
          <w:szCs w:val="22"/>
        </w:rPr>
        <w:t xml:space="preserve">JGES performs four core constitutional functions:</w:t>
      </w:r>
    </w:p>
    <w:p>
      <w:pPr>
        <w:pStyle w:val="ListParagraph"/>
        <w:numPr>
          <w:ilvl w:val="0"/>
          <w:numId w:val="3"/>
        </w:numPr>
        <w:spacing w:after="40" w:before="40" w:line="260" w:lineRule="auto"/>
      </w:pPr>
      <w:r>
        <w:rPr>
          <w:rFonts w:ascii="Arial" w:cs="Arial" w:eastAsia="Arial" w:hAnsi="Arial"/>
          <w:color w:val="1A1A1A"/>
          <w:sz w:val="22"/>
          <w:szCs w:val="22"/>
        </w:rPr>
        <w:t xml:space="preserve">Drift Detection: JGES continuously evaluates Σ_society(t) for ψ₂ destabilizing pressure, ψ₃ amplification, envelope violations, curvature-phase transitions, and hysteresis accumulation. When drift exceeds thresholds, JGES marks the domain and prepares a repair or enforcement action.</w:t>
      </w:r>
    </w:p>
    <w:p>
      <w:pPr>
        <w:pStyle w:val="ListParagraph"/>
        <w:numPr>
          <w:ilvl w:val="0"/>
          <w:numId w:val="3"/>
        </w:numPr>
        <w:spacing w:after="40" w:before="40" w:line="260" w:lineRule="auto"/>
      </w:pPr>
      <w:r>
        <w:rPr>
          <w:rFonts w:ascii="Arial" w:cs="Arial" w:eastAsia="Arial" w:hAnsi="Arial"/>
          <w:color w:val="1A1A1A"/>
          <w:sz w:val="22"/>
          <w:szCs w:val="22"/>
        </w:rPr>
        <w:t xml:space="preserve">Transition Evaluation (PCSF Integration): Every proposed transition is evaluated against the PCSF. JGES enforces admissibility, invariant preservation, envelope compliance, lineage consistency, and constitutional commitments.</w:t>
      </w:r>
    </w:p>
    <w:p>
      <w:pPr>
        <w:pStyle w:val="ListParagraph"/>
        <w:numPr>
          <w:ilvl w:val="0"/>
          <w:numId w:val="3"/>
        </w:numPr>
        <w:spacing w:after="40" w:before="40" w:line="260" w:lineRule="auto"/>
      </w:pPr>
      <w:r>
        <w:rPr>
          <w:rFonts w:ascii="Arial" w:cs="Arial" w:eastAsia="Arial" w:hAnsi="Arial"/>
          <w:color w:val="1A1A1A"/>
          <w:sz w:val="22"/>
          <w:szCs w:val="22"/>
        </w:rPr>
        <w:t xml:space="preserve">Enforcement / Repair Operators: JGES applies four constitutional operators — MONITOR (observe and track), ADJUST (apply corrective influence), ROLLBACK (revert a transition or state), and SHUTDOWN (isolate or disable a harmful subsystem). In Lean 4, these operators correspond to repair transformations on the state vector.</w:t>
      </w:r>
    </w:p>
    <w:p>
      <w:pPr>
        <w:pStyle w:val="ListParagraph"/>
        <w:numPr>
          <w:ilvl w:val="0"/>
          <w:numId w:val="3"/>
        </w:numPr>
        <w:spacing w:after="40" w:before="40" w:line="260" w:lineRule="auto"/>
      </w:pPr>
      <w:r>
        <w:rPr>
          <w:rFonts w:ascii="Arial" w:cs="Arial" w:eastAsia="Arial" w:hAnsi="Arial"/>
          <w:color w:val="1A1A1A"/>
          <w:sz w:val="22"/>
          <w:szCs w:val="22"/>
        </w:rPr>
        <w:t xml:space="preserve">Lineage Commitment: All JGES actions are committed to BLVDB, ensuring forensic replay, auditability, and constitutional accountability.</w:t>
      </w:r>
    </w:p>
    <w:p>
      <w:pPr>
        <w:pStyle w:val="Heading2"/>
        <w:spacing w:after="160" w:before="360"/>
      </w:pPr>
      <w:r>
        <w:rPr>
          <w:rFonts w:ascii="Arial" w:cs="Arial" w:eastAsia="Arial" w:hAnsi="Arial"/>
          <w:b/>
          <w:bCs/>
          <w:color w:val="D81B87"/>
          <w:sz w:val="32"/>
          <w:szCs w:val="32"/>
        </w:rPr>
        <w:t xml:space="preserve">9.3 Formal Definition (Lean 4 Layer)</w:t>
      </w:r>
    </w:p>
    <w:p>
      <w:pPr>
        <w:spacing w:after="120" w:before="80" w:line="276" w:lineRule="auto"/>
        <w:jc w:val="both"/>
      </w:pPr>
      <w:r>
        <w:rPr>
          <w:rFonts w:ascii="Arial" w:cs="Arial" w:eastAsia="Arial" w:hAnsi="Arial"/>
          <w:color w:val="1A1A1A"/>
          <w:sz w:val="22"/>
          <w:szCs w:val="22"/>
        </w:rPr>
        <w:t xml:space="preserve">In the formal layer, JGES is defined as a repair operator that maps any proposed transition or drifted state to the nearest constitutionally valid state and produces a proof bundle that the repair satisfies all invariants. The Lean 4 proof bundle is the judicial certificate of constitutional validity.</w:t>
      </w:r>
    </w:p>
    <w:p>
      <w:pPr>
        <w:pStyle w:val="Heading2"/>
        <w:spacing w:after="160" w:before="360"/>
      </w:pPr>
      <w:r>
        <w:rPr>
          <w:rFonts w:ascii="Arial" w:cs="Arial" w:eastAsia="Arial" w:hAnsi="Arial"/>
          <w:b/>
          <w:bCs/>
          <w:color w:val="D81B87"/>
          <w:sz w:val="32"/>
          <w:szCs w:val="32"/>
        </w:rPr>
        <w:t xml:space="preserve">9.4 Operational Definition (Runtime Layer)</w:t>
      </w:r>
    </w:p>
    <w:p>
      <w:pPr>
        <w:spacing w:after="120" w:before="80" w:line="276" w:lineRule="auto"/>
        <w:jc w:val="both"/>
      </w:pPr>
      <w:r>
        <w:rPr>
          <w:rFonts w:ascii="Arial" w:cs="Arial" w:eastAsia="Arial" w:hAnsi="Arial"/>
          <w:color w:val="1A1A1A"/>
          <w:sz w:val="22"/>
          <w:szCs w:val="22"/>
        </w:rPr>
        <w:t xml:space="preserve">In the runtime system, JGES is the enforcement physiology that detects drift, evaluates transitions, applies constitutional operators, routes ambiguous cases through MPAB, and commits all enforcement actions to BLVDB.</w:t>
      </w:r>
    </w:p>
    <w:p>
      <w:pPr>
        <w:pStyle w:val="Heading2"/>
        <w:spacing w:after="160" w:before="360"/>
      </w:pPr>
      <w:r>
        <w:rPr>
          <w:rFonts w:ascii="Arial" w:cs="Arial" w:eastAsia="Arial" w:hAnsi="Arial"/>
          <w:b/>
          <w:bCs/>
          <w:color w:val="D81B87"/>
          <w:sz w:val="32"/>
          <w:szCs w:val="32"/>
        </w:rPr>
        <w:t xml:space="preserve">9.5 Canonical One-Sentence Definition (Volume VIII)</w:t>
      </w:r>
    </w:p>
    <w:p>
      <w:pPr>
        <w:spacing w:after="120" w:before="80" w:line="276" w:lineRule="auto"/>
        <w:jc w:val="both"/>
      </w:pPr>
      <w:r>
        <w:rPr>
          <w:rFonts w:ascii="Arial" w:cs="Arial" w:eastAsia="Arial" w:hAnsi="Arial"/>
          <w:color w:val="1A1A1A"/>
          <w:sz w:val="22"/>
          <w:szCs w:val="22"/>
        </w:rPr>
        <w:t xml:space="preserve">JGES is the constitutional enforcement physiology of ISA Fabric, formally expressed as the Lean-level repair operator and operationally realized as the subsystem that detects drift, evaluates transitions, applies corrective operators, routes ambiguity through MPAB, and commits all enforcement actions to the Block Lineage Verification Database.</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10: JGES — Constitutional Invariants (Article VIII.X)</w:t>
      </w:r>
    </w:p>
    <w:p>
      <w:pPr>
        <w:spacing w:after="120" w:before="80" w:line="276" w:lineRule="auto"/>
        <w:jc w:val="both"/>
      </w:pPr>
      <w:r>
        <w:rPr>
          <w:rFonts w:ascii="Arial" w:cs="Arial" w:eastAsia="Arial" w:hAnsi="Arial"/>
          <w:color w:val="1A1A1A"/>
          <w:sz w:val="22"/>
          <w:szCs w:val="22"/>
        </w:rPr>
        <w:t xml:space="preserve">The Jurisdictional Governance Enforcement System SHALL operate under the following twelve constitutional invariants, which define the lawful boundaries of enforcement, repair, and transition evaluation within Σ(t) and Σ_society(t). These invariants bind both the formal repair operator (Lean 4 layer) and the operational enforcement physiology (runtime layer).</w:t>
      </w:r>
    </w:p>
    <w:p>
      <w:pPr>
        <w:spacing w:after="80" w:before="80"/>
      </w:pPr>
      <w:r>
        <w:t xml:space="preserve"/>
      </w:r>
    </w:p>
    <w:p>
      <w:pPr>
        <w:pStyle w:val="Heading2"/>
        <w:spacing w:after="160" w:before="360"/>
      </w:pPr>
      <w:r>
        <w:rPr>
          <w:rFonts w:ascii="Arial" w:cs="Arial" w:eastAsia="Arial" w:hAnsi="Arial"/>
          <w:b/>
          <w:bCs/>
          <w:color w:val="D81B87"/>
          <w:sz w:val="32"/>
          <w:szCs w:val="32"/>
        </w:rPr>
        <w:t xml:space="preserve">§1 — Invariant of Lawful Repair</w:t>
      </w:r>
    </w:p>
    <w:p>
      <w:pPr>
        <w:spacing w:after="120" w:before="80" w:line="276" w:lineRule="auto"/>
        <w:jc w:val="both"/>
      </w:pPr>
      <w:r>
        <w:rPr>
          <w:rFonts w:ascii="Arial" w:cs="Arial" w:eastAsia="Arial" w:hAnsi="Arial"/>
          <w:color w:val="1A1A1A"/>
          <w:sz w:val="22"/>
          <w:szCs w:val="22"/>
        </w:rPr>
        <w:t xml:space="preserve">JGES SHALL only produce repaired states that satisfy all sealed constitutional invariants. A repaired state returned by JGES MUST satisfy all domain-level invariants, all cross-domain invariants, all envelope constraints, all curvature-phase constraints, and all lineage-consistency constraints. No repair MAY introduce new violations, drift, or instability.</w:t>
      </w:r>
    </w:p>
    <w:p>
      <w:pPr>
        <w:pStyle w:val="Heading2"/>
        <w:spacing w:after="160" w:before="360"/>
      </w:pPr>
      <w:r>
        <w:rPr>
          <w:rFonts w:ascii="Arial" w:cs="Arial" w:eastAsia="Arial" w:hAnsi="Arial"/>
          <w:b/>
          <w:bCs/>
          <w:color w:val="D81B87"/>
          <w:sz w:val="32"/>
          <w:szCs w:val="32"/>
        </w:rPr>
        <w:t xml:space="preserve">§2 — Invariant of Minimal Intervention</w:t>
      </w:r>
    </w:p>
    <w:p>
      <w:pPr>
        <w:spacing w:after="120" w:before="80" w:line="276" w:lineRule="auto"/>
        <w:jc w:val="both"/>
      </w:pPr>
      <w:r>
        <w:rPr>
          <w:rFonts w:ascii="Arial" w:cs="Arial" w:eastAsia="Arial" w:hAnsi="Arial"/>
          <w:color w:val="1A1A1A"/>
          <w:sz w:val="22"/>
          <w:szCs w:val="22"/>
        </w:rPr>
        <w:t xml:space="preserve">JGES SHALL apply the minimal repair necessary to restore constitutional validity. This invariant ensures no excessive correction, no overreach, and no unnecessary modification of lawful state components. The repair operator MUST compute the nearest valid state in the constitutional metric space.</w:t>
      </w:r>
    </w:p>
    <w:p>
      <w:pPr>
        <w:pStyle w:val="Heading2"/>
        <w:spacing w:after="160" w:before="360"/>
      </w:pPr>
      <w:r>
        <w:rPr>
          <w:rFonts w:ascii="Arial" w:cs="Arial" w:eastAsia="Arial" w:hAnsi="Arial"/>
          <w:b/>
          <w:bCs/>
          <w:color w:val="D81B87"/>
          <w:sz w:val="32"/>
          <w:szCs w:val="32"/>
        </w:rPr>
        <w:t xml:space="preserve">§3 — Invariant of Deterministic Repair</w:t>
      </w:r>
    </w:p>
    <w:p>
      <w:pPr>
        <w:spacing w:after="120" w:before="80" w:line="276" w:lineRule="auto"/>
        <w:jc w:val="both"/>
      </w:pPr>
      <w:r>
        <w:rPr>
          <w:rFonts w:ascii="Arial" w:cs="Arial" w:eastAsia="Arial" w:hAnsi="Arial"/>
          <w:color w:val="1A1A1A"/>
          <w:sz w:val="22"/>
          <w:szCs w:val="22"/>
        </w:rPr>
        <w:t xml:space="preserve">Given identical inputs, JGES SHALL produce identical repaired outputs. This ensures reproducibility, auditability, deterministic enforcement, and compatibility with BLVDB replay. No nondeterministic enforcement behavior is permitted.</w:t>
      </w:r>
    </w:p>
    <w:p>
      <w:pPr>
        <w:pStyle w:val="Heading2"/>
        <w:spacing w:after="160" w:before="360"/>
      </w:pPr>
      <w:r>
        <w:rPr>
          <w:rFonts w:ascii="Arial" w:cs="Arial" w:eastAsia="Arial" w:hAnsi="Arial"/>
          <w:b/>
          <w:bCs/>
          <w:color w:val="D81B87"/>
          <w:sz w:val="32"/>
          <w:szCs w:val="32"/>
        </w:rPr>
        <w:t xml:space="preserve">§4 — Invariant of PCSF Supremacy</w:t>
      </w:r>
    </w:p>
    <w:p>
      <w:pPr>
        <w:spacing w:after="120" w:before="80" w:line="276" w:lineRule="auto"/>
        <w:jc w:val="both"/>
      </w:pPr>
      <w:r>
        <w:rPr>
          <w:rFonts w:ascii="Arial" w:cs="Arial" w:eastAsia="Arial" w:hAnsi="Arial"/>
          <w:color w:val="1A1A1A"/>
          <w:sz w:val="22"/>
          <w:szCs w:val="22"/>
        </w:rPr>
        <w:t xml:space="preserve">All JGES decisions SHALL be subordinate to and derived from the PCSF. JGES MAY NOT override PCSF, reinterpret PCSF, weaken PCSF, or bypass PCSF. The PCSF defines the lawful space of transitions; JGES enforces it.</w:t>
      </w:r>
    </w:p>
    <w:p>
      <w:pPr>
        <w:pStyle w:val="Heading2"/>
        <w:spacing w:after="160" w:before="360"/>
      </w:pPr>
      <w:r>
        <w:rPr>
          <w:rFonts w:ascii="Arial" w:cs="Arial" w:eastAsia="Arial" w:hAnsi="Arial"/>
          <w:b/>
          <w:bCs/>
          <w:color w:val="D81B87"/>
          <w:sz w:val="32"/>
          <w:szCs w:val="32"/>
        </w:rPr>
        <w:t xml:space="preserve">§5 — Invariant of MPAB Routing</w:t>
      </w:r>
    </w:p>
    <w:p>
      <w:pPr>
        <w:spacing w:after="120" w:before="80" w:line="276" w:lineRule="auto"/>
        <w:jc w:val="both"/>
      </w:pPr>
      <w:r>
        <w:rPr>
          <w:rFonts w:ascii="Arial" w:cs="Arial" w:eastAsia="Arial" w:hAnsi="Arial"/>
          <w:color w:val="1A1A1A"/>
          <w:sz w:val="22"/>
          <w:szCs w:val="22"/>
        </w:rPr>
        <w:t xml:space="preserve">Ambiguous, adversarial, or multi-path transitions SHALL be routed to MPAB. JGES MUST NOT resolve ambiguity unilaterally, select among competing interpretations, or collapse multi-path transitions without adjudication. MPAB adjudicates; JGES enforces.</w:t>
      </w:r>
    </w:p>
    <w:p>
      <w:pPr>
        <w:pStyle w:val="Heading2"/>
        <w:spacing w:after="160" w:before="360"/>
      </w:pPr>
      <w:r>
        <w:rPr>
          <w:rFonts w:ascii="Arial" w:cs="Arial" w:eastAsia="Arial" w:hAnsi="Arial"/>
          <w:b/>
          <w:bCs/>
          <w:color w:val="D81B87"/>
          <w:sz w:val="32"/>
          <w:szCs w:val="32"/>
        </w:rPr>
        <w:t xml:space="preserve">§6 — Invariant of Drift Neutralization</w:t>
      </w:r>
    </w:p>
    <w:p>
      <w:pPr>
        <w:spacing w:after="120" w:before="80" w:line="276" w:lineRule="auto"/>
        <w:jc w:val="both"/>
      </w:pPr>
      <w:r>
        <w:rPr>
          <w:rFonts w:ascii="Arial" w:cs="Arial" w:eastAsia="Arial" w:hAnsi="Arial"/>
          <w:color w:val="1A1A1A"/>
          <w:sz w:val="22"/>
          <w:szCs w:val="22"/>
        </w:rPr>
        <w:t xml:space="preserve">JGES SHALL neutralize drift before it accumulates into instability. Drift includes ψ₂ destabilizing pressure, ψ₃ amplification, envelope violations, curvature-phase transitions, and hysteresis accumulation. JGES MUST intervene before drift crosses critical thresholds.</w:t>
      </w:r>
    </w:p>
    <w:p>
      <w:pPr>
        <w:pStyle w:val="Heading2"/>
        <w:spacing w:after="160" w:before="360"/>
      </w:pPr>
      <w:r>
        <w:rPr>
          <w:rFonts w:ascii="Arial" w:cs="Arial" w:eastAsia="Arial" w:hAnsi="Arial"/>
          <w:b/>
          <w:bCs/>
          <w:color w:val="D81B87"/>
          <w:sz w:val="32"/>
          <w:szCs w:val="32"/>
        </w:rPr>
        <w:t xml:space="preserve">§7 — Invariant of Constitutional Safety Basin</w:t>
      </w:r>
    </w:p>
    <w:p>
      <w:pPr>
        <w:spacing w:after="120" w:before="80" w:line="276" w:lineRule="auto"/>
        <w:jc w:val="both"/>
      </w:pPr>
      <w:r>
        <w:rPr>
          <w:rFonts w:ascii="Arial" w:cs="Arial" w:eastAsia="Arial" w:hAnsi="Arial"/>
          <w:color w:val="1A1A1A"/>
          <w:sz w:val="22"/>
          <w:szCs w:val="22"/>
        </w:rPr>
        <w:t xml:space="preserve">JGES SHALL maintain Σ_society(t) within the constitutional safe basin. This includes preventing FM-K001 (collapse cascade), preventing envelope P3 persistence, preventing hyperbolic curvature runaway, and preventing ψ-mode dominance by destabilizing modes. The safe basin is defined by the sealed constitutional corpus.</w:t>
      </w:r>
    </w:p>
    <w:p>
      <w:pPr>
        <w:pStyle w:val="Heading2"/>
        <w:spacing w:after="160" w:before="360"/>
      </w:pPr>
      <w:r>
        <w:rPr>
          <w:rFonts w:ascii="Arial" w:cs="Arial" w:eastAsia="Arial" w:hAnsi="Arial"/>
          <w:b/>
          <w:bCs/>
          <w:color w:val="D81B87"/>
          <w:sz w:val="32"/>
          <w:szCs w:val="32"/>
        </w:rPr>
        <w:t xml:space="preserve">§8 — Invariant of Lineage Commitment</w:t>
      </w:r>
    </w:p>
    <w:p>
      <w:pPr>
        <w:spacing w:after="120" w:before="80" w:line="276" w:lineRule="auto"/>
        <w:jc w:val="both"/>
      </w:pPr>
      <w:r>
        <w:rPr>
          <w:rFonts w:ascii="Arial" w:cs="Arial" w:eastAsia="Arial" w:hAnsi="Arial"/>
          <w:color w:val="1A1A1A"/>
          <w:sz w:val="22"/>
          <w:szCs w:val="22"/>
        </w:rPr>
        <w:t xml:space="preserve">All JGES actions SHALL be committed to the Block Lineage Verification Database (BLVDB). This includes accepted transitions, rejected transitions, all four enforcement operators, reason codes, proof bundles, actor identity, and timestamps. This invariant ensures forensic replay and constitutional accountability.</w:t>
      </w:r>
    </w:p>
    <w:p>
      <w:pPr>
        <w:pStyle w:val="Heading2"/>
        <w:spacing w:after="160" w:before="360"/>
      </w:pPr>
      <w:r>
        <w:rPr>
          <w:rFonts w:ascii="Arial" w:cs="Arial" w:eastAsia="Arial" w:hAnsi="Arial"/>
          <w:b/>
          <w:bCs/>
          <w:color w:val="D81B87"/>
          <w:sz w:val="32"/>
          <w:szCs w:val="32"/>
        </w:rPr>
        <w:t xml:space="preserve">§9 — Invariant of Triptych Separation</w:t>
      </w:r>
    </w:p>
    <w:p>
      <w:pPr>
        <w:spacing w:after="120" w:before="80" w:line="276" w:lineRule="auto"/>
        <w:jc w:val="both"/>
      </w:pPr>
      <w:r>
        <w:rPr>
          <w:rFonts w:ascii="Arial" w:cs="Arial" w:eastAsia="Arial" w:hAnsi="Arial"/>
          <w:color w:val="1A1A1A"/>
          <w:sz w:val="22"/>
          <w:szCs w:val="22"/>
        </w:rPr>
        <w:t xml:space="preserve">JGES SHALL NOT store semantic memory, invariants, or failure-mode knowledge. JGES MAY read from the Triptych (Mens for threat patterns, Corpus for invariants, Anima for failure-mode logic) but MUST NOT modify the Triptych, store memory in the Triptych, or conflate enforcement with cognition. This preserves the separation of action (JGES) and knowledge (Triptych).</w:t>
      </w:r>
    </w:p>
    <w:p>
      <w:pPr>
        <w:pStyle w:val="Heading2"/>
        <w:spacing w:after="160" w:before="360"/>
      </w:pPr>
      <w:r>
        <w:rPr>
          <w:rFonts w:ascii="Arial" w:cs="Arial" w:eastAsia="Arial" w:hAnsi="Arial"/>
          <w:b/>
          <w:bCs/>
          <w:color w:val="D81B87"/>
          <w:sz w:val="32"/>
          <w:szCs w:val="32"/>
        </w:rPr>
        <w:t xml:space="preserve">§10 — Invariant of Proof-Carrying Repair</w:t>
      </w:r>
    </w:p>
    <w:p>
      <w:pPr>
        <w:spacing w:after="120" w:before="80" w:line="276" w:lineRule="auto"/>
        <w:jc w:val="both"/>
      </w:pPr>
      <w:r>
        <w:rPr>
          <w:rFonts w:ascii="Arial" w:cs="Arial" w:eastAsia="Arial" w:hAnsi="Arial"/>
          <w:color w:val="1A1A1A"/>
          <w:sz w:val="22"/>
          <w:szCs w:val="22"/>
        </w:rPr>
        <w:t xml:space="preserve">Every JGES repair SHALL produce a proof bundle certifying invariant satisfaction. The proof bundle MUST be complete, verifiable, lineage-committed, and ZK-exportable. This ensures constitutional transparency and mathematical correctness.</w:t>
      </w:r>
    </w:p>
    <w:p>
      <w:pPr>
        <w:pStyle w:val="Heading2"/>
        <w:spacing w:after="160" w:before="360"/>
      </w:pPr>
      <w:r>
        <w:rPr>
          <w:rFonts w:ascii="Arial" w:cs="Arial" w:eastAsia="Arial" w:hAnsi="Arial"/>
          <w:b/>
          <w:bCs/>
          <w:color w:val="D81B87"/>
          <w:sz w:val="32"/>
          <w:szCs w:val="32"/>
        </w:rPr>
        <w:t xml:space="preserve">§11 — Invariant of Non-Regression</w:t>
      </w:r>
    </w:p>
    <w:p>
      <w:pPr>
        <w:spacing w:after="120" w:before="80" w:line="276" w:lineRule="auto"/>
        <w:jc w:val="both"/>
      </w:pPr>
      <w:r>
        <w:rPr>
          <w:rFonts w:ascii="Arial" w:cs="Arial" w:eastAsia="Arial" w:hAnsi="Arial"/>
          <w:color w:val="1A1A1A"/>
          <w:sz w:val="22"/>
          <w:szCs w:val="22"/>
        </w:rPr>
        <w:t xml:space="preserve">JGES SHALL NOT permit transitions that reduce constitutional safety, stability, or invariant strength. No enforcement action MAY weaken invariants, reduce safety margins, degrade envelope definitions, or introduce new failure modes. This invariant protects the constitution from erosion through enforcement actions.</w:t>
      </w:r>
    </w:p>
    <w:p>
      <w:pPr>
        <w:pStyle w:val="Heading2"/>
        <w:spacing w:after="160" w:before="360"/>
      </w:pPr>
      <w:r>
        <w:rPr>
          <w:rFonts w:ascii="Arial" w:cs="Arial" w:eastAsia="Arial" w:hAnsi="Arial"/>
          <w:b/>
          <w:bCs/>
          <w:color w:val="D81B87"/>
          <w:sz w:val="32"/>
          <w:szCs w:val="32"/>
        </w:rPr>
        <w:t xml:space="preserve">§12 — Invariant of Constitutional Fidelity</w:t>
      </w:r>
    </w:p>
    <w:p>
      <w:pPr>
        <w:spacing w:after="120" w:before="80" w:line="276" w:lineRule="auto"/>
        <w:jc w:val="both"/>
      </w:pPr>
      <w:r>
        <w:rPr>
          <w:rFonts w:ascii="Arial" w:cs="Arial" w:eastAsia="Arial" w:hAnsi="Arial"/>
          <w:color w:val="1A1A1A"/>
          <w:sz w:val="22"/>
          <w:szCs w:val="22"/>
        </w:rPr>
        <w:t xml:space="preserve">JGES SHALL operate solely within the authority granted by the sealed constitutional corpus. JGES MAY NOT create new authority, reinterpret constitutional text, modify sealed definitions, or alter the meaning of invariants. JGES enforces the constitution; it does not evolve it.</w:t>
      </w:r>
    </w:p>
    <w:p>
      <w:pPr>
        <w:spacing w:after="80" w:before="80"/>
      </w:pPr>
      <w:r>
        <w:t xml:space="preserve"/>
      </w:r>
    </w:p>
    <w:p>
      <w:pPr>
        <w:pBdr>
          <w:bottom w:val="single" w:color="D81B87" w:sz="6" w:space="1"/>
        </w:pBdr>
        <w:spacing w:after="120" w:before="120"/>
      </w:pPr>
      <w:r>
        <w:t xml:space="preserve"/>
      </w:r>
    </w:p>
    <w:p>
      <w:pPr>
        <w:spacing w:after="120" w:before="80" w:line="276" w:lineRule="auto"/>
        <w:jc w:val="both"/>
      </w:pPr>
      <w:r>
        <w:rPr>
          <w:rFonts w:ascii="Arial" w:cs="Arial" w:eastAsia="Arial" w:hAnsi="Arial"/>
          <w:color w:val="1A1A1A"/>
          <w:sz w:val="22"/>
          <w:szCs w:val="22"/>
        </w:rPr>
        <w:t xml:space="preserve">Canonical Summary (Volume VIII): JGES SHALL enforce constitutional invariants through minimal, deterministic, PCSF-aligned repair; SHALL route ambiguity to MPAB; SHALL neutralize drift; SHALL maintain Σ_society(t) within the safe basin; SHALL commit all actions to BLVDB; SHALL remain separate from the Triptych; and SHALL produce proof-carrying repairs that preserve constitutional fidelity and prevent regression.</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11: Failure Mode Taxonomy v2.0</w:t>
      </w:r>
    </w:p>
    <w:p>
      <w:pPr>
        <w:spacing w:after="120" w:before="80" w:line="276" w:lineRule="auto"/>
        <w:jc w:val="both"/>
      </w:pPr>
      <w:r>
        <w:rPr>
          <w:rFonts w:ascii="Arial" w:cs="Arial" w:eastAsia="Arial" w:hAnsi="Arial"/>
          <w:color w:val="1A1A1A"/>
          <w:sz w:val="22"/>
          <w:szCs w:val="22"/>
        </w:rPr>
        <w:t xml:space="preserve">Failure Mode Taxonomy v2.0 is the Triptych-Corpus edition of ISA Fabric’s constitutional ontology of governance failures. It provides the canonical classification system for all failure patterns within Σ_society(t), including evaluative field signatures, lineage graphs, test vectors, priority matrices, and BLVDB integration specifications.</w:t>
      </w:r>
    </w:p>
    <w:p>
      <w:pPr>
        <w:pStyle w:val="Heading2"/>
        <w:spacing w:after="160" w:before="360"/>
      </w:pPr>
      <w:r>
        <w:rPr>
          <w:rFonts w:ascii="Arial" w:cs="Arial" w:eastAsia="Arial" w:hAnsi="Arial"/>
          <w:b/>
          <w:bCs/>
          <w:color w:val="D81B87"/>
          <w:sz w:val="32"/>
          <w:szCs w:val="32"/>
        </w:rPr>
        <w:t xml:space="preserve">11.1 Purpose and Architecture</w:t>
      </w:r>
    </w:p>
    <w:p>
      <w:pPr>
        <w:spacing w:after="120" w:before="80" w:line="276" w:lineRule="auto"/>
        <w:jc w:val="both"/>
      </w:pPr>
      <w:r>
        <w:rPr>
          <w:rFonts w:ascii="Arial" w:cs="Arial" w:eastAsia="Arial" w:hAnsi="Arial"/>
          <w:color w:val="1A1A1A"/>
          <w:sz w:val="22"/>
          <w:szCs w:val="22"/>
        </w:rPr>
        <w:t xml:space="preserve">The Taxonomy provides: a constitutional ontology of governance failures; a Triptych-Corpus memory substrate for Pneuma, JGES, and MPAB; a semantic mapping of failure signatures to evaluative fields; a lineage graph (primitive → composite → cascading); test vectors for simulation, replay, and BLVDB linkage; constitutional anchors for each failure mode; risk scoring using the v2.0 Priority Matrix; BLVDB category mapping (Mens, Corpus, Anima); and ZK-compatible detection signatures. The Taxonomy is constitutional memory, not a ledger. BLVDB stores instances of failures; the Triptych stores definitions.</w:t>
      </w:r>
    </w:p>
    <w:p>
      <w:pPr>
        <w:pStyle w:val="Heading2"/>
        <w:spacing w:after="160" w:before="360"/>
      </w:pPr>
      <w:r>
        <w:rPr>
          <w:rFonts w:ascii="Arial" w:cs="Arial" w:eastAsia="Arial" w:hAnsi="Arial"/>
          <w:b/>
          <w:bCs/>
          <w:color w:val="D81B87"/>
          <w:sz w:val="32"/>
          <w:szCs w:val="32"/>
        </w:rPr>
        <w:t xml:space="preserve">11.2 Evaluative Field Integration</w:t>
      </w:r>
    </w:p>
    <w:p>
      <w:pPr>
        <w:spacing w:after="120" w:before="80" w:line="276" w:lineRule="auto"/>
        <w:jc w:val="both"/>
      </w:pPr>
      <w:r>
        <w:rPr>
          <w:rFonts w:ascii="Arial" w:cs="Arial" w:eastAsia="Arial" w:hAnsi="Arial"/>
          <w:color w:val="1A1A1A"/>
          <w:sz w:val="22"/>
          <w:szCs w:val="22"/>
        </w:rPr>
        <w:t xml:space="preserve">Each failure mode in v2.0 includes a signature across all evaluative fields: Ξ (sensitivity), Θ (interpretive vector), ψ₁–ψ₅ (propagation modes), κ (curvature), δ (divergence), τ (semantic tension), P-class (envelope class), and η (dissipation floor). These fields allow Pneuma and JGES to detect failures before they manifest.</w:t>
      </w:r>
    </w:p>
    <w:p>
      <w:pPr>
        <w:pStyle w:val="Heading2"/>
        <w:spacing w:after="160" w:before="360"/>
      </w:pPr>
      <w:r>
        <w:rPr>
          <w:rFonts w:ascii="Arial" w:cs="Arial" w:eastAsia="Arial" w:hAnsi="Arial"/>
          <w:b/>
          <w:bCs/>
          <w:color w:val="D81B87"/>
          <w:sz w:val="32"/>
          <w:szCs w:val="32"/>
        </w:rPr>
        <w:t xml:space="preserve">11.3 Failure Mode Classes</w:t>
      </w:r>
    </w:p>
    <w:p>
      <w:pPr>
        <w:spacing w:after="120" w:before="80" w:line="276" w:lineRule="auto"/>
        <w:jc w:val="both"/>
      </w:pPr>
      <w:r>
        <w:rPr>
          <w:rFonts w:ascii="Arial" w:cs="Arial" w:eastAsia="Arial" w:hAnsi="Arial"/>
          <w:color w:val="1A1A1A"/>
          <w:sz w:val="22"/>
          <w:szCs w:val="22"/>
        </w:rPr>
        <w:t xml:space="preserve">The Taxonomy defines four failure mode classes: Primitive (P): irreducible constitutional failures that cannot be decomposed into simpler failures; Composite (C): emergent failures arising from combinations of primitive modes; Fork-Specific (F, new in v2.0): cross-fork divergence patterns unique to multi-instance deployments; and Cascading (K): systemic collapse patterns arising from compound failures.</w:t>
      </w:r>
    </w:p>
    <w:p>
      <w:pPr>
        <w:pStyle w:val="Heading2"/>
        <w:spacing w:after="160" w:before="360"/>
      </w:pPr>
      <w:r>
        <w:rPr>
          <w:rFonts w:ascii="Arial" w:cs="Arial" w:eastAsia="Arial" w:hAnsi="Arial"/>
          <w:b/>
          <w:bCs/>
          <w:color w:val="D81B87"/>
          <w:sz w:val="32"/>
          <w:szCs w:val="32"/>
        </w:rPr>
        <w:t xml:space="preserve">11.4 Primitive Failure Modes (P-Class)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60"/>
        <w:gridCol w:w="1200"/>
        <w:gridCol w:w="2400"/>
      </w:tblGrid>
      <w:tr>
        <w:trPr>
          <w:tblHeader/>
        </w:trPr>
        <w:tc>
          <w:tcPr>
            <w:tcW w:type="dxa" w:w="12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ID</w:t>
            </w:r>
          </w:p>
        </w:tc>
        <w:tc>
          <w:tcPr>
            <w:tcW w:type="dxa" w:w="18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Name</w:t>
            </w:r>
          </w:p>
        </w:tc>
        <w:tc>
          <w:tcPr>
            <w:tcW w:type="dxa" w:w="276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Description</w:t>
            </w:r>
          </w:p>
        </w:tc>
        <w:tc>
          <w:tcPr>
            <w:tcW w:type="dxa" w:w="12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Risk</w:t>
            </w:r>
          </w:p>
        </w:tc>
        <w:tc>
          <w:tcPr>
            <w:tcW w:type="dxa" w:w="24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Triptych Layer</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FM-P001</w:t>
            </w:r>
          </w:p>
        </w:tc>
        <w:tc>
          <w:tcPr>
            <w:tcW w:type="dxa" w:w="1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Metric Drift</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Monotonic drift in ψ₅ or SE; cross-metric correlation collapse. κ↑, δ↑, τ↑, Ξ↑, ψ₃ active.</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P1</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Corpus</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FM-P002</w:t>
            </w:r>
          </w:p>
        </w:tc>
        <w:tc>
          <w:tcPr>
            <w:tcW w:type="dxa" w:w="1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Narrative Capture</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Non-constitutional narratives in proposals; Θ-vector override attempts; dashboard influence. τ↑↑, ψ₁ active.</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P0</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Mens</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FM-P003</w:t>
            </w:r>
          </w:p>
        </w:tc>
        <w:tc>
          <w:tcPr>
            <w:tcW w:type="dxa" w:w="1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Calibration Creep</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Incremental threshold lowering; cumulative delta exceeds constitutional margin. κ↓, η↓, ψ₄ active.</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P1</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Corpus</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FM-P004</w:t>
            </w:r>
          </w:p>
        </w:tc>
        <w:tc>
          <w:tcPr>
            <w:tcW w:type="dxa" w:w="1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Authority Dilution</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Non-authoritative metrics used in execution; Θ-vector contamination. τ↑, ψ₂ active.</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P0</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Corpus</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FM-P005</w:t>
            </w:r>
          </w:p>
        </w:tc>
        <w:tc>
          <w:tcPr>
            <w:tcW w:type="dxa" w:w="1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Hysteresis Bypass</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Emergency declared without persistence window; single-sample spikes used as justification. δ spike, κ oscillation, ψ₅ active.</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P2</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Anima</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FM-P006</w:t>
            </w:r>
          </w:p>
        </w:tc>
        <w:tc>
          <w:tcPr>
            <w:tcW w:type="dxa" w:w="1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Interpretive Drift</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CVR deviation; synonym substitution; “intent” arguments; Θ-vector deviation. τ↑↑, ψ₁ active.</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P1</w:t>
            </w:r>
          </w:p>
        </w:tc>
        <w:tc>
          <w:tcPr>
            <w:tcW w:type="dxa" w:w="24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Mens</w:t>
            </w:r>
          </w:p>
        </w:tc>
      </w:tr>
    </w:tbl>
    <w:p>
      <w:pPr>
        <w:spacing w:after="120" w:before="40"/>
        <w:jc w:val="center"/>
      </w:pPr>
      <w:r>
        <w:rPr>
          <w:rFonts w:ascii="Arial" w:cs="Arial" w:eastAsia="Arial" w:hAnsi="Arial"/>
          <w:i/>
          <w:iCs/>
          <w:color w:val="777777"/>
          <w:sz w:val="18"/>
          <w:szCs w:val="18"/>
        </w:rPr>
        <w:t xml:space="preserve">Table 11.1 — Primitive Failure Modes (P-Class)</w:t>
      </w:r>
    </w:p>
    <w:p>
      <w:pPr>
        <w:spacing w:after="80" w:before="80"/>
      </w:pPr>
      <w:r>
        <w:t xml:space="preserve"/>
      </w:r>
    </w:p>
    <w:p>
      <w:pPr>
        <w:pStyle w:val="Heading2"/>
        <w:spacing w:after="160" w:before="360"/>
      </w:pPr>
      <w:r>
        <w:rPr>
          <w:rFonts w:ascii="Arial" w:cs="Arial" w:eastAsia="Arial" w:hAnsi="Arial"/>
          <w:b/>
          <w:bCs/>
          <w:color w:val="D81B87"/>
          <w:sz w:val="32"/>
          <w:szCs w:val="32"/>
        </w:rPr>
        <w:t xml:space="preserve">11.5 Composite Failure Modes (C-Class)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200"/>
        <w:gridCol w:w="2760"/>
      </w:tblGrid>
      <w:tr>
        <w:trPr>
          <w:tblHeader/>
        </w:trPr>
        <w:tc>
          <w:tcPr>
            <w:tcW w:type="dxa" w:w="12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ID</w:t>
            </w:r>
          </w:p>
        </w:tc>
        <w:tc>
          <w:tcPr>
            <w:tcW w:type="dxa" w:w="20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Name</w:t>
            </w:r>
          </w:p>
        </w:tc>
        <w:tc>
          <w:tcPr>
            <w:tcW w:type="dxa" w:w="22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Composition</w:t>
            </w:r>
          </w:p>
        </w:tc>
        <w:tc>
          <w:tcPr>
            <w:tcW w:type="dxa" w:w="12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Risk</w:t>
            </w:r>
          </w:p>
        </w:tc>
        <w:tc>
          <w:tcPr>
            <w:tcW w:type="dxa" w:w="276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Evaluative Signature</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FM-C001</w:t>
            </w:r>
          </w:p>
        </w:tc>
        <w:tc>
          <w:tcPr>
            <w:tcW w:type="dxa" w:w="20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Governance Capture</w:t>
            </w:r>
          </w:p>
        </w:tc>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P003 + P002</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P0</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κ↓ + τ↑↑, ψ₁ + ψ₄ propagation, Θ-vector override, η erosion</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FM-C002</w:t>
            </w:r>
          </w:p>
        </w:tc>
        <w:tc>
          <w:tcPr>
            <w:tcW w:type="dxa" w:w="20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Emergency Abuse</w:t>
            </w:r>
          </w:p>
        </w:tc>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P002 + P006</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P1</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τ↑↑↑, δ↑ temporal divergence, ψ₁ + ψ₅ propagation</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FM-C003</w:t>
            </w:r>
          </w:p>
        </w:tc>
        <w:tc>
          <w:tcPr>
            <w:tcW w:type="dxa" w:w="20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Metric Manipulation + Authority Dilution</w:t>
            </w:r>
          </w:p>
        </w:tc>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P001 + P004</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P0</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κ↑ (hidden drift), Θ contamination, ψ₂ propagation</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FM-C004</w:t>
            </w:r>
          </w:p>
        </w:tc>
        <w:tc>
          <w:tcPr>
            <w:tcW w:type="dxa" w:w="20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Fork Escape</w:t>
            </w:r>
          </w:p>
        </w:tc>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P003 + P006</w:t>
            </w:r>
          </w:p>
        </w:tc>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P1</w:t>
            </w:r>
          </w:p>
        </w:tc>
        <w:tc>
          <w:tcPr>
            <w:tcW w:type="dxa" w:w="27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κ divergence across forks, Θ-vector drift, ψ₄ propagation</w:t>
            </w:r>
          </w:p>
        </w:tc>
      </w:tr>
    </w:tbl>
    <w:p>
      <w:pPr>
        <w:spacing w:after="120" w:before="40"/>
        <w:jc w:val="center"/>
      </w:pPr>
      <w:r>
        <w:rPr>
          <w:rFonts w:ascii="Arial" w:cs="Arial" w:eastAsia="Arial" w:hAnsi="Arial"/>
          <w:i/>
          <w:iCs/>
          <w:color w:val="777777"/>
          <w:sz w:val="18"/>
          <w:szCs w:val="18"/>
        </w:rPr>
        <w:t xml:space="preserve">Table 11.2 — Composite Failure Modes (C-Class)</w:t>
      </w:r>
    </w:p>
    <w:p>
      <w:pPr>
        <w:spacing w:after="80" w:before="80"/>
      </w:pPr>
      <w:r>
        <w:t xml:space="preserve"/>
      </w:r>
    </w:p>
    <w:p>
      <w:pPr>
        <w:pStyle w:val="Heading2"/>
        <w:spacing w:after="160" w:before="360"/>
      </w:pPr>
      <w:r>
        <w:rPr>
          <w:rFonts w:ascii="Arial" w:cs="Arial" w:eastAsia="Arial" w:hAnsi="Arial"/>
          <w:b/>
          <w:bCs/>
          <w:color w:val="D81B87"/>
          <w:sz w:val="32"/>
          <w:szCs w:val="32"/>
        </w:rPr>
        <w:t xml:space="preserve">11.6 Fork-Specific Failure Modes (F-Class, New in v2.0)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1800"/>
      </w:tblGrid>
      <w:tr>
        <w:trPr>
          <w:tblHeader/>
        </w:trPr>
        <w:tc>
          <w:tcPr>
            <w:tcW w:type="dxa" w:w="12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ID</w:t>
            </w:r>
          </w:p>
        </w:tc>
        <w:tc>
          <w:tcPr>
            <w:tcW w:type="dxa" w:w="22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Name</w:t>
            </w:r>
          </w:p>
        </w:tc>
        <w:tc>
          <w:tcPr>
            <w:tcW w:type="dxa" w:w="416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Signature</w:t>
            </w:r>
          </w:p>
        </w:tc>
        <w:tc>
          <w:tcPr>
            <w:tcW w:type="dxa" w:w="18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vAlign w:val="center"/>
          </w:tcPr>
          <w:p>
            <w:pPr>
              <w:spacing w:after="20" w:before="20"/>
            </w:pPr>
            <w:r>
              <w:rPr>
                <w:rFonts w:ascii="Arial" w:cs="Arial" w:eastAsia="Arial" w:hAnsi="Arial"/>
                <w:b/>
                <w:bCs/>
                <w:color w:val="B5006E"/>
                <w:sz w:val="18"/>
                <w:szCs w:val="18"/>
              </w:rPr>
              <w:t xml:space="preserve">Risk</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FM-F001</w:t>
            </w:r>
          </w:p>
        </w:tc>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Semantic Fork Drift</w:t>
            </w:r>
          </w:p>
        </w:tc>
        <w:tc>
          <w:tcPr>
            <w:tcW w:type="dxa" w:w="41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Θ-vector divergence between forks, τ↑↑, ψ₁ propagation</w:t>
            </w:r>
          </w:p>
        </w:tc>
        <w:tc>
          <w:tcPr>
            <w:tcW w:type="dxa" w:w="1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P1</w:t>
            </w:r>
          </w:p>
        </w:tc>
      </w:tr>
      <w:tr>
        <w:trPr>
          <w:tblHeader w:val="false"/>
        </w:trPr>
        <w:tc>
          <w:tcPr>
            <w:tcW w:type="dxa" w:w="1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FM-F002</w:t>
            </w:r>
          </w:p>
        </w:tc>
        <w:tc>
          <w:tcPr>
            <w:tcW w:type="dxa" w:w="22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Calibration Fork Drift</w:t>
            </w:r>
          </w:p>
        </w:tc>
        <w:tc>
          <w:tcPr>
            <w:tcW w:type="dxa" w:w="41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κ divergence, η mismatch, ψ₄ propagation</w:t>
            </w:r>
          </w:p>
        </w:tc>
        <w:tc>
          <w:tcPr>
            <w:tcW w:type="dxa" w:w="1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vAlign w:val="center"/>
          </w:tcPr>
          <w:p>
            <w:pPr>
              <w:spacing w:after="20" w:before="20"/>
            </w:pPr>
            <w:r>
              <w:rPr>
                <w:rFonts w:ascii="Arial" w:cs="Arial" w:eastAsia="Arial" w:hAnsi="Arial"/>
                <w:b w:val="false"/>
                <w:bCs w:val="false"/>
                <w:color w:val="1A1A1A"/>
                <w:sz w:val="18"/>
                <w:szCs w:val="18"/>
              </w:rPr>
              <w:t xml:space="preserve">P1</w:t>
            </w:r>
          </w:p>
        </w:tc>
      </w:tr>
    </w:tbl>
    <w:p>
      <w:pPr>
        <w:spacing w:after="120" w:before="40"/>
        <w:jc w:val="center"/>
      </w:pPr>
      <w:r>
        <w:rPr>
          <w:rFonts w:ascii="Arial" w:cs="Arial" w:eastAsia="Arial" w:hAnsi="Arial"/>
          <w:i/>
          <w:iCs/>
          <w:color w:val="777777"/>
          <w:sz w:val="18"/>
          <w:szCs w:val="18"/>
        </w:rPr>
        <w:t xml:space="preserve">Table 11.3 — Fork-Specific Failure Modes (F-Class)</w:t>
      </w:r>
    </w:p>
    <w:p>
      <w:pPr>
        <w:spacing w:after="80" w:before="80"/>
      </w:pPr>
      <w:r>
        <w:t xml:space="preserve"/>
      </w:r>
    </w:p>
    <w:p>
      <w:pPr>
        <w:pStyle w:val="Heading2"/>
        <w:spacing w:after="160" w:before="360"/>
      </w:pPr>
      <w:r>
        <w:rPr>
          <w:rFonts w:ascii="Arial" w:cs="Arial" w:eastAsia="Arial" w:hAnsi="Arial"/>
          <w:b/>
          <w:bCs/>
          <w:color w:val="D81B87"/>
          <w:sz w:val="32"/>
          <w:szCs w:val="32"/>
        </w:rPr>
        <w:t xml:space="preserve">11.7 Cascading Failure Mode (K-Class)</w:t>
      </w:r>
    </w:p>
    <w:p>
      <w:pPr>
        <w:spacing w:after="120" w:before="80" w:line="276" w:lineRule="auto"/>
        <w:jc w:val="both"/>
      </w:pPr>
      <w:r>
        <w:rPr>
          <w:rFonts w:ascii="Arial" w:cs="Arial" w:eastAsia="Arial" w:hAnsi="Arial"/>
          <w:color w:val="1A1A1A"/>
          <w:sz w:val="22"/>
          <w:szCs w:val="22"/>
        </w:rPr>
        <w:t xml:space="preserve">FM-K001 — Constitutional Collapse Cascade is the catastrophic (P0) cascading failure mode spanning all three Triptych layers (Mens + Corpus + Anima) and anchored to all constitutional articles. Its evaluative signature involves simultaneous κ collapse (κ↓↓↓), extreme semantic tension (τ↑↑↑↑), temporal divergence (δ↑↑↑), multi-mode propagation (ψ₁ + ψ₂ + ψ₄ + ψ₅), and dissipation floor collapse (η collapse). FM-K001 arises from the simultaneous occurrence of FM-C001 + FM-C002 + FM-C003 + systemic failure.</w:t>
      </w:r>
    </w:p>
    <w:p>
      <w:pPr>
        <w:pStyle w:val="Heading2"/>
        <w:spacing w:after="160" w:before="360"/>
      </w:pPr>
      <w:r>
        <w:rPr>
          <w:rFonts w:ascii="Arial" w:cs="Arial" w:eastAsia="Arial" w:hAnsi="Arial"/>
          <w:b/>
          <w:bCs/>
          <w:color w:val="D81B87"/>
          <w:sz w:val="32"/>
          <w:szCs w:val="32"/>
        </w:rPr>
        <w:t xml:space="preserve">11.8 Failure Mode Lineage Graph</w:t>
      </w:r>
    </w:p>
    <w:p>
      <w:pPr>
        <w:spacing w:after="120" w:before="80" w:line="276" w:lineRule="auto"/>
        <w:jc w:val="both"/>
      </w:pPr>
      <w:r>
        <w:rPr>
          <w:rFonts w:ascii="Arial" w:cs="Arial" w:eastAsia="Arial" w:hAnsi="Arial"/>
          <w:color w:val="1A1A1A"/>
          <w:sz w:val="22"/>
          <w:szCs w:val="22"/>
        </w:rPr>
        <w:t xml:space="preserve">The lineage graph defines the constitutional genealogy of failure modes: P-Class primitives (P001–P006) compose into C-Class composites; F-Class fork failures arise from P-Class primitives diverging across deployment forks; and the K-Class cascade (K001) arises from compound C-Class failures. This lineage is stored in the Triptych Corpus at triptych/corpus/failure_modes/lineage/.</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Chapter 12: Operational Tool Suite</w:t>
      </w:r>
    </w:p>
    <w:p>
      <w:pPr>
        <w:spacing w:after="120" w:before="80" w:line="276" w:lineRule="auto"/>
        <w:jc w:val="both"/>
      </w:pPr>
      <w:r>
        <w:rPr>
          <w:rFonts w:ascii="Arial" w:cs="Arial" w:eastAsia="Arial" w:hAnsi="Arial"/>
          <w:color w:val="1A1A1A"/>
          <w:sz w:val="22"/>
          <w:szCs w:val="22"/>
        </w:rPr>
        <w:t xml:space="preserve">Once the SDR, SDRS, and Σ_society(t) are live, a comprehensive operational tool suite becomes possible. These tools are not speculative: they are direct mathematical consequences of the governed manifold, the tensor propagation engine, Lyapunov-stable constitutional physics, cryptographically committed lineage, and the machine-verified enforcement engine.</w:t>
      </w:r>
    </w:p>
    <w:p>
      <w:pPr>
        <w:pStyle w:val="Heading2"/>
        <w:spacing w:after="160" w:before="360"/>
      </w:pPr>
      <w:r>
        <w:rPr>
          <w:rFonts w:ascii="Arial" w:cs="Arial" w:eastAsia="Arial" w:hAnsi="Arial"/>
          <w:b/>
          <w:bCs/>
          <w:color w:val="D81B87"/>
          <w:sz w:val="32"/>
          <w:szCs w:val="32"/>
        </w:rPr>
        <w:t xml:space="preserve">12.1 Failure Mode Early Warning System (FMEWS)</w:t>
      </w:r>
    </w:p>
    <w:p>
      <w:pPr>
        <w:spacing w:after="120" w:before="80" w:line="276" w:lineRule="auto"/>
        <w:jc w:val="both"/>
      </w:pPr>
      <w:r>
        <w:rPr>
          <w:rFonts w:ascii="Arial" w:cs="Arial" w:eastAsia="Arial" w:hAnsi="Arial"/>
          <w:color w:val="1A1A1A"/>
          <w:sz w:val="22"/>
          <w:szCs w:val="22"/>
        </w:rPr>
        <w:t xml:space="preserve">The FMEWS is a real-time monitoring engine that continuously evaluates ψ-mode pressures, tensor propagation patterns, drift trajectories, curvature-phase transitions, envelope violations, R₀_const reproduction dynamics, hysteresis accumulation, and governance intervention gaps to detect incipient societal failures before they manifest.</w:t>
      </w:r>
    </w:p>
    <w:p>
      <w:pPr>
        <w:spacing w:after="120" w:before="80" w:line="276" w:lineRule="auto"/>
        <w:jc w:val="both"/>
      </w:pPr>
      <w:r>
        <w:rPr>
          <w:rFonts w:ascii="Arial" w:cs="Arial" w:eastAsia="Arial" w:hAnsi="Arial"/>
          <w:color w:val="1A1A1A"/>
          <w:sz w:val="22"/>
          <w:szCs w:val="22"/>
        </w:rPr>
        <w:t xml:space="preserve">The FMEWS operates through seven detection mechanisms: (1) detecting destabilizing ψ-mode pressure (when ψ₂ and ψ₃ exceed ψ₁ and ψ₄, flagging incipient drift); (2) predicting drift trajectories using the tensor propagation law; (3) computing forward R₀_const (raising Class E alerts when R₀_const &gt; 1 and Class F alerts when R₀_const &gt; 1 on structural authority domains); (4) detecting curvature-phase transitions (a shift into hyperbolic curvature is a pre-failure signature); (5) monitoring envelope violations (P2 and P3 crossings trigger early warnings); (6) tracking hysteresis accumulation (structural fatigue equivalents); and (7) detecting governance gaps (comparing required interventions from tensor analysis against actual interventions from BLVDB).</w:t>
      </w:r>
    </w:p>
    <w:p>
      <w:pPr>
        <w:spacing w:after="120" w:before="80" w:line="276" w:lineRule="auto"/>
        <w:jc w:val="both"/>
      </w:pPr>
      <w:r>
        <w:rPr>
          <w:rFonts w:ascii="Arial" w:cs="Arial" w:eastAsia="Arial" w:hAnsi="Arial"/>
          <w:color w:val="1A1A1A"/>
          <w:sz w:val="22"/>
          <w:szCs w:val="22"/>
        </w:rPr>
        <w:t xml:space="preserve">FMEWS outputs include: a Drift Risk Score (scalar constitutional risk per domain), a Failure Mode Likelihood distribution, a Time-to-Failure Estimate, Recommended Interventions (the minimal MONITOR/ADJUST/ROLLBACK/SHUTDOWN sequence needed), and a Constitutional Cost Estimate.</w:t>
      </w:r>
    </w:p>
    <w:p>
      <w:pPr>
        <w:pStyle w:val="Heading2"/>
        <w:spacing w:after="160" w:before="360"/>
      </w:pPr>
      <w:r>
        <w:rPr>
          <w:rFonts w:ascii="Arial" w:cs="Arial" w:eastAsia="Arial" w:hAnsi="Arial"/>
          <w:b/>
          <w:bCs/>
          <w:color w:val="D81B87"/>
          <w:sz w:val="32"/>
          <w:szCs w:val="32"/>
        </w:rPr>
        <w:t xml:space="preserve">12.2 Reverse Engineering Failure Modes (REFS)</w:t>
      </w:r>
    </w:p>
    <w:p>
      <w:pPr>
        <w:spacing w:after="120" w:before="80" w:line="276" w:lineRule="auto"/>
        <w:jc w:val="both"/>
      </w:pPr>
      <w:r>
        <w:rPr>
          <w:rFonts w:ascii="Arial" w:cs="Arial" w:eastAsia="Arial" w:hAnsi="Arial"/>
          <w:color w:val="1A1A1A"/>
          <w:sz w:val="22"/>
          <w:szCs w:val="22"/>
        </w:rPr>
        <w:t xml:space="preserve">The Reverse Engineering Failure Modes engine is a backward inference engine built on the mathematics of the 72×72×5 influence tensor. Given an observed failure, drift pattern, or collapse signature in Σ_society(t), REFS reconstructs the tensor pathways that produced it, the ψ-mode contributions that amplified it, the domain-level causal chain, the constitutional invariants that were stressed or violated, the minimal set of initiating conditions, and the governance interventions that would have prevented it.</w:t>
      </w:r>
    </w:p>
    <w:p>
      <w:pPr>
        <w:spacing w:after="120" w:before="80" w:line="276" w:lineRule="auto"/>
        <w:jc w:val="both"/>
      </w:pPr>
      <w:r>
        <w:rPr>
          <w:rFonts w:ascii="Arial" w:cs="Arial" w:eastAsia="Arial" w:hAnsi="Arial"/>
          <w:color w:val="1A1A1A"/>
          <w:sz w:val="22"/>
          <w:szCs w:val="22"/>
        </w:rPr>
        <w:t xml:space="preserve">REFS operates through a seven-step canonical algorithm: (1) input setup (loading failure signature, tensor, SDRS records, BLVDB lineage); (2) failure signature characterization (identifying failing domains, extracting ψ-mode patterns, recording curvature-phase and envelope states); (3) backward tensor propagation (computing causal backtrace C = ∪ C_s through iterative backward steps); (4) minimal causal set extraction (computing C_min, the smallest set of initiating domains sufficient to produce the observed failure); (5) constitutional reproduction chain analysis (R₀_const backtrace, super-spreader identification); (6) governance counterfactual analysis (simulating minimal intervention sets using BLVDB); and (7) production of a constitutional forensic report, which is committed to BLVDB as permanent constitutional lineage.</w:t>
      </w:r>
    </w:p>
    <w:p>
      <w:pPr>
        <w:pStyle w:val="Heading2"/>
        <w:spacing w:after="160" w:before="360"/>
      </w:pPr>
      <w:r>
        <w:rPr>
          <w:rFonts w:ascii="Arial" w:cs="Arial" w:eastAsia="Arial" w:hAnsi="Arial"/>
          <w:b/>
          <w:bCs/>
          <w:color w:val="D81B87"/>
          <w:sz w:val="32"/>
          <w:szCs w:val="32"/>
        </w:rPr>
        <w:t xml:space="preserve">12.3 Constitutional Impact Analyzer</w:t>
      </w:r>
    </w:p>
    <w:p>
      <w:pPr>
        <w:spacing w:after="120" w:before="80" w:line="276" w:lineRule="auto"/>
        <w:jc w:val="both"/>
      </w:pPr>
      <w:r>
        <w:rPr>
          <w:rFonts w:ascii="Arial" w:cs="Arial" w:eastAsia="Arial" w:hAnsi="Arial"/>
          <w:color w:val="1A1A1A"/>
          <w:sz w:val="22"/>
          <w:szCs w:val="22"/>
        </w:rPr>
        <w:t xml:space="preserve">The Constitutional Impact Analyzer is a governance decision support system. Given a proposed policy, AI deployment, or institutional change, it simulates the ψ-mode effects, computes drift impact, checks envelope compliance, predicts R₀_const changes, and estimates constitutional risk. This tool enables evidence-based constitutional governance decisions with formal, verifiable outputs.</w:t>
      </w:r>
    </w:p>
    <w:p>
      <w:pPr>
        <w:pStyle w:val="Heading2"/>
        <w:spacing w:after="160" w:before="360"/>
      </w:pPr>
      <w:r>
        <w:rPr>
          <w:rFonts w:ascii="Arial" w:cs="Arial" w:eastAsia="Arial" w:hAnsi="Arial"/>
          <w:b/>
          <w:bCs/>
          <w:color w:val="D81B87"/>
          <w:sz w:val="32"/>
          <w:szCs w:val="32"/>
        </w:rPr>
        <w:t xml:space="preserve">12.4 CUAP Simulation Engine</w:t>
      </w:r>
    </w:p>
    <w:p>
      <w:pPr>
        <w:spacing w:after="120" w:before="80" w:line="276" w:lineRule="auto"/>
        <w:jc w:val="both"/>
      </w:pPr>
      <w:r>
        <w:rPr>
          <w:rFonts w:ascii="Arial" w:cs="Arial" w:eastAsia="Arial" w:hAnsi="Arial"/>
          <w:color w:val="1A1A1A"/>
          <w:sz w:val="22"/>
          <w:szCs w:val="22"/>
        </w:rPr>
        <w:t xml:space="preserve">The CUAP Simulation Engine is the constitutional amendment simulator — the formal, computational environment for simulating proposed CUAP amendments before adoption. It loads the current constitutional corpus (Genesis Governance v6.1.1, all sealed definitions, invariants, doctrinal structures, enforcement physiology, tensor constraints, and PCSF rules) and applies the proposed amendment in a sandboxed constitutional environment.</w:t>
      </w:r>
    </w:p>
    <w:p>
      <w:pPr>
        <w:spacing w:after="120" w:before="80" w:line="276" w:lineRule="auto"/>
        <w:jc w:val="both"/>
      </w:pPr>
      <w:r>
        <w:rPr>
          <w:rFonts w:ascii="Arial" w:cs="Arial" w:eastAsia="Arial" w:hAnsi="Arial"/>
          <w:color w:val="1A1A1A"/>
          <w:sz w:val="22"/>
          <w:szCs w:val="22"/>
        </w:rPr>
        <w:t xml:space="preserve">The engine checks syntactic validity, doctrinal consistency, invariant preservation, lineage compatibility, sealed-definition constraints, and cross-volume coherence. If any check fails, the engine halts. For amendments that pass syntactic and doctrinal checks, the engine recomputes all constitutional invariants, simulates societal dynamics under the amended constitution, tests enforcement engine behavior, and produces a constitutional risk report. If all tests pass, it issues a CUAP Simulation Certificate, an Invariant Preservation Report, a Societal Stability Forecast, and an Operational Safety Report — forming the pre-ratification dossier.</w:t>
      </w:r>
    </w:p>
    <w:p>
      <w:pPr>
        <w:pStyle w:val="Heading2"/>
        <w:spacing w:after="160" w:before="360"/>
      </w:pPr>
      <w:r>
        <w:rPr>
          <w:rFonts w:ascii="Arial" w:cs="Arial" w:eastAsia="Arial" w:hAnsi="Arial"/>
          <w:b/>
          <w:bCs/>
          <w:color w:val="D81B87"/>
          <w:sz w:val="32"/>
          <w:szCs w:val="32"/>
        </w:rPr>
        <w:t xml:space="preserve">12.5 ZK-Verified Public Health Dashboard</w:t>
      </w:r>
    </w:p>
    <w:p>
      <w:pPr>
        <w:spacing w:after="120" w:before="80" w:line="276" w:lineRule="auto"/>
        <w:jc w:val="both"/>
      </w:pPr>
      <w:r>
        <w:rPr>
          <w:rFonts w:ascii="Arial" w:cs="Arial" w:eastAsia="Arial" w:hAnsi="Arial"/>
          <w:color w:val="1A1A1A"/>
          <w:sz w:val="22"/>
          <w:szCs w:val="22"/>
        </w:rPr>
        <w:t xml:space="preserve">The ZK-Verified Public Health Dashboard is the public-facing constitutional health interface for Σ_society(t). It displays domain-level constitutional health (GREEN/YELLOW/ORANGE/RED for all 72 domains), constitutional epidemiology indicators (R₀_const, H_const, FM-K001 likelihood, cross-domain contagion risk), drift and stability forecasts, and governance actions (the fact of MONITOR/ADJUST/ROLLBACK/SHUTDOWN events, but not the sensitive data behind them).</w:t>
      </w:r>
    </w:p>
    <w:p>
      <w:pPr>
        <w:spacing w:after="120" w:before="80" w:line="276" w:lineRule="auto"/>
        <w:jc w:val="both"/>
      </w:pPr>
      <w:r>
        <w:rPr>
          <w:rFonts w:ascii="Arial" w:cs="Arial" w:eastAsia="Arial" w:hAnsi="Arial"/>
          <w:color w:val="1A1A1A"/>
          <w:sz w:val="22"/>
          <w:szCs w:val="22"/>
        </w:rPr>
        <w:t xml:space="preserve">The Dashboard achieves public transparency with full privacy preservation through zero-knowledge proofs generated by the SDRS. ZKPs certify that displayed values are correct, constitutional invariants are satisfied, data is authentic and unaltered, the system is not hiding violations, and the BLVDB lineage is unbroken — all without revealing any raw societal data, individual-level information, or sensitive institutional metrics. Citizens see the proof and the result, but not the data. This is the first governance system in history that is simultaneously transparent, privacy-preserving, cryptographically trustworthy, and mathematically grounded.</w:t>
      </w:r>
    </w:p>
    <w:p>
      <w:pPr>
        <w:pStyle w:val="Heading2"/>
        <w:spacing w:after="160" w:before="360"/>
      </w:pPr>
      <w:r>
        <w:rPr>
          <w:rFonts w:ascii="Arial" w:cs="Arial" w:eastAsia="Arial" w:hAnsi="Arial"/>
          <w:b/>
          <w:bCs/>
          <w:color w:val="D81B87"/>
          <w:sz w:val="32"/>
          <w:szCs w:val="32"/>
        </w:rPr>
        <w:t xml:space="preserve">12.6 AI Governance Tools</w:t>
      </w:r>
    </w:p>
    <w:p>
      <w:pPr>
        <w:spacing w:after="120" w:before="80" w:line="276" w:lineRule="auto"/>
        <w:jc w:val="both"/>
      </w:pPr>
      <w:r>
        <w:rPr>
          <w:rFonts w:ascii="Arial" w:cs="Arial" w:eastAsia="Arial" w:hAnsi="Arial"/>
          <w:color w:val="1A1A1A"/>
          <w:sz w:val="22"/>
          <w:szCs w:val="22"/>
        </w:rPr>
        <w:t xml:space="preserve">The AI Influence Monitor tracks AI-mediated ψ-mode contributions to Σ_society(t) in real time — the constitutional air-traffic control system for AI. The AI Drift Classification Engine classifies AI systems by ψ-mode signature, domain impact, contraction compliance, and R₀_const contribution — the constitutional safety rating system for AI.</w:t>
      </w:r>
    </w:p>
    <w:p>
      <w:pPr>
        <w:pStyle w:val="Heading2"/>
        <w:spacing w:after="160" w:before="360"/>
      </w:pPr>
      <w:r>
        <w:rPr>
          <w:rFonts w:ascii="Arial" w:cs="Arial" w:eastAsia="Arial" w:hAnsi="Arial"/>
          <w:b/>
          <w:bCs/>
          <w:color w:val="D81B87"/>
          <w:sz w:val="32"/>
          <w:szCs w:val="32"/>
        </w:rPr>
        <w:t xml:space="preserve">12.7 Infrastructure and Research Tools</w:t>
      </w:r>
    </w:p>
    <w:p>
      <w:pPr>
        <w:spacing w:after="120" w:before="80" w:line="276" w:lineRule="auto"/>
        <w:jc w:val="both"/>
      </w:pPr>
      <w:r>
        <w:rPr>
          <w:rFonts w:ascii="Arial" w:cs="Arial" w:eastAsia="Arial" w:hAnsi="Arial"/>
          <w:color w:val="1A1A1A"/>
          <w:sz w:val="22"/>
          <w:szCs w:val="22"/>
        </w:rPr>
        <w:t xml:space="preserve">The Constitutional Infrastructure Risk Index uses SDRS data to compute infrastructure R₀_const, H_const thresholds, cross-domain fragility, and resilience scores. The Supply Chain Constitutional Stress Test simulates supply chain shocks, ψ₃ amplification, and cross-domain propagation. The Constitutional Epidemiology Lab provides a research environment for R₀_const modeling, H_const analysis, contagion pathway mapping, and FM-K001 prevention.</w:t>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Master Glossary</w:t>
      </w:r>
    </w:p>
    <w:p>
      <w:pPr>
        <w:spacing w:after="120" w:before="80" w:line="276" w:lineRule="auto"/>
        <w:jc w:val="both"/>
      </w:pPr>
      <w:r>
        <w:rPr>
          <w:rFonts w:ascii="Arial" w:cs="Arial" w:eastAsia="Arial" w:hAnsi="Arial"/>
          <w:color w:val="1A1A1A"/>
          <w:sz w:val="22"/>
          <w:szCs w:val="22"/>
        </w:rPr>
        <w:t xml:space="preserve">This glossary constitutes the canonical terminology for ISA Fabric + Genesis Governance v6.1.1, integrating definitions from Volumes I–VIII of the Mathematics Under Law series.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tcPr>
          <w:p>
            <w:r>
              <w:rPr>
                <w:rFonts w:ascii="Arial" w:cs="Arial" w:eastAsia="Arial" w:hAnsi="Arial"/>
                <w:b/>
                <w:bCs/>
                <w:color w:val="B5006E"/>
                <w:sz w:val="20"/>
                <w:szCs w:val="20"/>
              </w:rPr>
              <w:t xml:space="preserve">Term</w:t>
            </w:r>
          </w:p>
        </w:tc>
        <w:tc>
          <w:tcPr>
            <w:tcW w:type="dxa" w:w="6560"/>
            <w:tcBorders>
              <w:top w:val="single" w:color="F48FB1" w:sz="4"/>
              <w:left w:val="single" w:color="F48FB1" w:sz="4"/>
              <w:bottom w:val="single" w:color="F48FB1" w:sz="4"/>
              <w:right w:val="single" w:color="F48FB1" w:sz="4"/>
            </w:tcBorders>
            <w:shd w:fill="F8BBD9" w:val="clear"/>
            <w:tcMar>
              <w:top w:type="dxa" w:w="80"/>
              <w:left w:type="dxa" w:w="140"/>
              <w:bottom w:type="dxa" w:w="80"/>
              <w:right w:type="dxa" w:w="140"/>
            </w:tcMar>
          </w:tcPr>
          <w:p>
            <w:r>
              <w:rPr>
                <w:rFonts w:ascii="Arial" w:cs="Arial" w:eastAsia="Arial" w:hAnsi="Arial"/>
                <w:b/>
                <w:bCs/>
                <w:color w:val="B5006E"/>
                <w:sz w:val="20"/>
                <w:szCs w:val="20"/>
              </w:rPr>
              <w:t xml:space="preserve">Definition</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Ambiguity Law</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constitutional doctrine governing the classification, resolution, and elimination of semantic ambiguity.</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Attractor, Constitutional (Σ*)</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sealed equilibrium state toward which all lawful trajectories converge.</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AI Constitutional Safety</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governance of AI systems as ψ-mode influence sources whose aggregate effects on Σ_society(t) must satisfy UCD, PCSF, and JGES constraints. (Volume VII)</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AI Constitutional Governance Substrate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formal, mathematical layer on which AI governance operates, distinct from policy. (Volume VII)</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Basin, Safe (B_safe)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positively invariant region defined by V(Σ) ≤ V_safe.</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Benchmarking Lattice Atlas (BLA)</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Canonical 60-vertex lattice for calibration and validation.</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Block Lineage Verification Database (BLVDB)</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A forensic, replay-verifiable event ledger; the black box flight recorder of ISA Fabric.</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Bouc–Wen Model</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Hybrid hysteresis model forming part of constitutional memory.</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Constitutional AI</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A training-based AI alignment approach (Anthropic) distinct from ISA Fabric’s governance-level approach. (Volume VII)</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Constitutional Controller</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role ISA Fabric plays as a controller enforcing invariants on the societal “plant.” (Volume VII)</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Constitutional Epidemiology</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formal study of societal failure propagation using R₀_const and H_const.</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Constitutional Herd Immunity Threshold (H_const)</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Minimum fraction of GREEN domains required for natural containment.</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Constitutional Mirror</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idea that Σ_society(t), when public and cryptographically committed, becomes a mirror of civilization’s constitutional health. (Volume VII)</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Constitutional Plant</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system being governed — in societal projection, human civilization. (Volume VII)</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Constitutional Reproduction Number (R₀_const)</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Expected number of domains driven to degradation by a failure in one domain.</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Constitutional Upgrade &amp; Archive Protocol (CUAP)</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only lawful mechanism for modifying sealed definitions.</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CUAP Simulation Engine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A formal, computational environment for simulating proposed CUAP amendments before adoption.</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Drift Classification</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GREEN → YELLOW → ORANGE → RED; the four-level constitutional health classification.</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Enforcement Cycle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Proposal → PCSF → JGES → MPAB → Σ(t+1).</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Enforcement Operators</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MONITOR → ADJUST → ROLLBACK → SHUTDOWN.</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Failure Mode FM-K001</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Constitutional Collapse Cascade; the catastrophic (P0) cascading failure mode.</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Failure Mode Taxonomy v2.0</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Triptych-Corpus edition constitutional ontology of governance failures.</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FMEWS (Failure Mode Early Warning System)</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Real-time monitoring engine for detecting incipient societal failures before they manifest.</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Genesis Governance v6.1.1</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sealed constitutional corpus defining the legal and mathematical substrate of ISA Fabric.</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Governance Substrate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formal, mathematical layer on which governance operates. (Volume VII)</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Hysteresis (Preisach/Bouc–Wen Hybrid)</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Constitutional memory encoded in State.z.</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Influence Tensor (72×72×5)</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Propagation engine with ψ-mode fiber structure; 25,920 constitutional coefficients governing cross-domain influence.</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Invariarch Doctrine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Doctrine governing invariant preservation.</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JGES (Jurisdictional Governance Enforcement System)</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constitutional enforcement physiology of ISA Fabric; formally the Lean-level repair operator.</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Judicial Organ (Lean 4)</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Final arbiter of constitutional validity via machine-checked proofs.</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Keyhole Geometry</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Structural form ensuring all transitions pass through PCSF.</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Lean 4 Proof Bundle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Judicial certificate of constitutional validity; ZK-exportable.</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Lineage (BLVDB)</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Append-only constitutional record.</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Lyapunov Functional (V)</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Measures constitutional distance from Σ*.</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Memory-With-Convergence Theorem</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Hysteresis does not break UCD convergence.</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MPAB (Multi-Path Adjudication Board)</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constitutional adjudicator for ambiguous, adversarial, or multi-path transitions.</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Modes, ψ-Modes</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ψ₁ Stabilizing • ψ₂ Destabilizing • ψ₃ Amplifying • ψ₄ Buffering • ψ₅ Structural Authority</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Multi-Jurisdictional Manifold Governance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Extension of Σ_society(t) to overlapping jurisdictions. (Volume VII)</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NatSpec++</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Interpretive annotation layer for constitutional definitions and enforcement actions.</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PCSF</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Four-layer constitutional validation sequence; supreme governance authority.</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Projection Π_semantic</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Contractive morphism mapping Σ(t) → Σ_society(t).</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Reverse Engineering Failure Modes (REFS)</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A backward inference engine for reconstructing the causal chain of constitutional failures.</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Revocation Protocol</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Three-stage constitutional reset.</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R₀_const (Constitutional Reproduction Number)</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Expected number of domains driven to degradation by a single domain failure.</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SDR (Societal Data Registry)</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constitutional specification: registry schema, ingestion rules, connector metadata, and constitutional constraints on data admissibility.</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SDRS (Societal Data Registry Server)</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operational server implementing the SDR; the data backbone and central nervous system of ISA Fabric’s societal layer.</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Society Index</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Public, cryptographically committed trajectory of Σ_society(t). (Volume VII)</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Sparsity Preservation Theorem</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Proof that tensor sparsification preserves UCD contraction.</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Σ_society(t)</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72-domain societal manifold derived from the constitutional state Σ(t); the governed projection of constitutional health across civilization.</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Tensor Propagation Law</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x_j(t+1) = x_j(t) + Σ_{i,k} T_{i,j,k} · ψ_{k,i}(t); the constitutional physics of the societal manifold.</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Triptych Memory Substrate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Mens (semantic) / Corpus (structural) / Anima (failure) memory architecture.</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UCD (Uniform Contraction Doctrine)</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Central stability theorem: V contracts by (1−ε)² each lawful step.</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V(Σ)</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The Lyapunov Functional; measures constitutional distance from Σ*.</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Windowed Temporal Dynamics</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Rolling epoch analysis of curvature, density, and drift.</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Ξ Sensitivity Field</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Measures temporal coherence and drift sensitivity over the societal manifold.</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Yellow Region</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Metastable drift region requiring elevated monitoring.</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ZK-Verified Public Health Dashboard</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Public-facing constitutional health interface using zero-knowledge proofs for privacy-preserving transparency.</w:t>
            </w:r>
          </w:p>
        </w:tc>
      </w:tr>
      <w:tr>
        <w:tc>
          <w:tcPr>
            <w:tcW w:type="dxa" w:w="280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b/>
                <w:bCs/>
                <w:color w:val="B5006E"/>
                <w:sz w:val="20"/>
                <w:szCs w:val="20"/>
              </w:rPr>
              <w:t xml:space="preserve">Zero-Drift Condition</w:t>
            </w:r>
          </w:p>
        </w:tc>
        <w:tc>
          <w:tcPr>
            <w:tcW w:type="dxa" w:w="6560"/>
            <w:tcBorders>
              <w:top w:val="single" w:color="F48FB1" w:sz="4"/>
              <w:left w:val="single" w:color="F48FB1" w:sz="4"/>
              <w:bottom w:val="single" w:color="F48FB1" w:sz="4"/>
              <w:right w:val="single" w:color="F48FB1" w:sz="4"/>
            </w:tcBorders>
            <w:shd w:fill="FFFFFF" w:val="clear"/>
            <w:tcMar>
              <w:top w:type="dxa" w:w="80"/>
              <w:left w:type="dxa" w:w="140"/>
              <w:bottom w:type="dxa" w:w="80"/>
              <w:right w:type="dxa" w:w="140"/>
            </w:tcMar>
          </w:tcPr>
          <w:p>
            <w:pPr>
              <w:spacing w:after="20" w:before="20"/>
            </w:pPr>
            <w:r>
              <w:rPr>
                <w:rFonts w:ascii="Arial" w:cs="Arial" w:eastAsia="Arial" w:hAnsi="Arial"/>
                <w:color w:val="1A1A1A"/>
                <w:sz w:val="20"/>
                <w:szCs w:val="20"/>
              </w:rPr>
              <w:t xml:space="preserve">Condition under which Σ(t) remains permanently at Σ*.</w:t>
            </w:r>
          </w:p>
        </w:tc>
      </w:tr>
    </w:tbl>
    <w:p>
      <w:pPr>
        <w:spacing w:after="80" w:before="80"/>
      </w:pPr>
      <w:r>
        <w:t xml:space="preserve"/>
      </w:r>
    </w:p>
    <w:p>
      <w:r>
        <w:br w:type="page"/>
      </w:r>
    </w:p>
    <w:p>
      <w:pPr>
        <w:pStyle w:val="Heading1"/>
        <w:pBdr>
          <w:bottom w:val="single" w:color="B5006E" w:sz="8" w:space="4"/>
        </w:pBdr>
        <w:spacing w:after="180" w:before="480"/>
      </w:pPr>
      <w:r>
        <w:rPr>
          <w:rFonts w:ascii="Arial" w:cs="Arial" w:eastAsia="Arial" w:hAnsi="Arial"/>
          <w:b/>
          <w:bCs/>
          <w:color w:val="B5006E"/>
          <w:sz w:val="40"/>
          <w:szCs w:val="40"/>
        </w:rPr>
        <w:t xml:space="preserve">Conclusion</w:t>
      </w:r>
    </w:p>
    <w:p>
      <w:pPr>
        <w:spacing w:after="120" w:before="80" w:line="276" w:lineRule="auto"/>
        <w:jc w:val="both"/>
      </w:pPr>
      <w:r>
        <w:rPr>
          <w:rFonts w:ascii="Arial" w:cs="Arial" w:eastAsia="Arial" w:hAnsi="Arial"/>
          <w:color w:val="1A1A1A"/>
          <w:sz w:val="22"/>
          <w:szCs w:val="22"/>
        </w:rPr>
        <w:t xml:space="preserve">ISA Fabric + Genesis Governance v6.1.1 represents a fundamental advance in the science and practice of governance. For the first time in history, constitutional governance has a mathematically precise substrate: a governed dynamical system whose state is a formally defined manifold, whose evolution is governed by a constitutional propagation law, whose stability is guaranteed by Lyapunov contraction, whose failures are detectable before they manifest, whose enforcement is deterministic and proof-carrying, and whose transparency is cryptographically verifiable without disclosure of sensitive data.</w:t>
      </w:r>
    </w:p>
    <w:p>
      <w:pPr>
        <w:spacing w:after="120" w:before="80" w:line="276" w:lineRule="auto"/>
        <w:jc w:val="both"/>
      </w:pPr>
      <w:r>
        <w:rPr>
          <w:rFonts w:ascii="Arial" w:cs="Arial" w:eastAsia="Arial" w:hAnsi="Arial"/>
          <w:color w:val="1A1A1A"/>
          <w:sz w:val="22"/>
          <w:szCs w:val="22"/>
        </w:rPr>
        <w:t xml:space="preserve">The architecture described in this Pink Paper — Σ_society(t), the Influence Tensor Τ, JGES with its twelve constitutional invariants, the SDRS and its seven subsystems, BLVDB, the Triptych, PCSF, MPAB, and the full operational tool suite — constitutes a complete, formally verifiable constitutional governance substrate applicable at any scale, from institutional governance to civilization-wide constitutional order.</w:t>
      </w:r>
    </w:p>
    <w:p>
      <w:pPr>
        <w:spacing w:after="120" w:before="80" w:line="276" w:lineRule="auto"/>
        <w:jc w:val="both"/>
      </w:pPr>
      <w:r>
        <w:rPr>
          <w:rFonts w:ascii="Arial" w:cs="Arial" w:eastAsia="Arial" w:hAnsi="Arial"/>
          <w:color w:val="1A1A1A"/>
          <w:sz w:val="22"/>
          <w:szCs w:val="22"/>
        </w:rPr>
        <w:t xml:space="preserve">This document will be maintained and updated through lawful CUAP actions as ISA Fabric evolves. All updates are committed to BLVDB with full lineage, and the CUAP Simulation Engine must certify any proposed amendment before ratification. The sealed constitutional corpus of Genesis Governance v6.1.1 remains the supreme legal and mathematical authority until lawfully amended.</w:t>
      </w:r>
    </w:p>
    <w:p>
      <w:pPr>
        <w:spacing w:after="80" w:before="80"/>
      </w:pPr>
      <w:r>
        <w:t xml:space="preserve"/>
      </w:r>
    </w:p>
    <w:p>
      <w:pPr>
        <w:spacing w:after="80" w:before="80"/>
      </w:pPr>
      <w:r>
        <w:t xml:space="preserve"/>
      </w:r>
    </w:p>
    <w:p>
      <w:pPr>
        <w:pBdr>
          <w:bottom w:val="single" w:color="D81B87" w:sz="6" w:space="1"/>
        </w:pBdr>
        <w:spacing w:after="120" w:before="120"/>
      </w:pPr>
      <w:r>
        <w:t xml:space="preserve"/>
      </w:r>
    </w:p>
    <w:p>
      <w:pPr>
        <w:spacing w:after="80" w:before="200"/>
        <w:jc w:val="center"/>
      </w:pPr>
      <w:r>
        <w:rPr>
          <w:rFonts w:ascii="Arial" w:cs="Arial" w:eastAsia="Arial" w:hAnsi="Arial"/>
          <w:b/>
          <w:bCs/>
          <w:color w:val="B5006E"/>
          <w:sz w:val="22"/>
          <w:szCs w:val="22"/>
        </w:rPr>
        <w:t xml:space="preserve">ISA Fabric + Genesis Governance v6.1.1</w:t>
      </w:r>
    </w:p>
    <w:p>
      <w:pPr>
        <w:spacing w:after="80" w:before="0"/>
        <w:jc w:val="center"/>
      </w:pPr>
      <w:r>
        <w:rPr>
          <w:rFonts w:ascii="Arial" w:cs="Arial" w:eastAsia="Arial" w:hAnsi="Arial"/>
          <w:i/>
          <w:iCs/>
          <w:color w:val="3E3E3E"/>
          <w:sz w:val="20"/>
          <w:szCs w:val="20"/>
        </w:rPr>
        <w:t xml:space="preserve">Pink Paper — Mathematics Under Law — June 2026</w:t>
      </w:r>
    </w:p>
    <w:sectPr>
      <w:headerReference w:type="default" r:id="rId7"/>
      <w:footerReference w:type="default" r:id="rId8"/>
      <w:pgSz w:w="12240" w:h="15840"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8FB1" w:sz="4" w:space="4"/>
      </w:pBdr>
      <w:tabs>
        <w:tab w:val="right" w:pos="9360"/>
      </w:tabs>
      <w:spacing w:after="0" w:before="80"/>
    </w:pPr>
    <w:r>
      <w:rPr>
        <w:rFonts w:ascii="Arial" w:cs="Arial" w:eastAsia="Arial" w:hAnsi="Arial"/>
        <w:i/>
        <w:iCs/>
        <w:color w:val="999999"/>
        <w:sz w:val="16"/>
        <w:szCs w:val="16"/>
      </w:rPr>
      <w:t xml:space="preserve">Confidential — For Distribution to Authorized Parties</w:t>
    </w:r>
    <w:r>
      <w:rPr>
        <w:rFonts w:ascii="Arial" w:cs="Arial" w:eastAsia="Arial" w:hAnsi="Arial"/>
        <w:sz w:val="16"/>
        <w:szCs w:val="16"/>
      </w:rPr>
      <w:t xml:space="preserve">	</w:t>
    </w:r>
    <w:r>
      <w:rPr>
        <w:rFonts w:ascii="Arial" w:cs="Arial" w:eastAsia="Arial" w:hAnsi="Arial"/>
        <w:color w:val="3E3E3E"/>
        <w:sz w:val="16"/>
        <w:szCs w:val="16"/>
      </w:rPr>
      <w:t xml:space="preserve">Page </w:t>
    </w:r>
    <w:r>
      <w:t xml:space="preserve">Page </w:t>
    </w:r>
    <w:r/>
    <w:r>
      <w:t xml:space="preserve"> of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1B87" w:sz="6" w:space="4"/>
      </w:pBdr>
      <w:tabs>
        <w:tab w:val="right" w:pos="9360"/>
      </w:tabs>
      <w:spacing w:after="120" w:before="0"/>
    </w:pPr>
    <w:r>
      <w:rPr>
        <w:rFonts w:ascii="Arial" w:cs="Arial" w:eastAsia="Arial" w:hAnsi="Arial"/>
        <w:b/>
        <w:bCs/>
        <w:color w:val="B5006E"/>
        <w:sz w:val="18"/>
        <w:szCs w:val="18"/>
      </w:rPr>
      <w:t xml:space="preserve">ISA Fabric + Genesis Governance v6.1.1</w:t>
    </w:r>
    <w:r>
      <w:rPr>
        <w:rFonts w:ascii="Arial" w:cs="Arial" w:eastAsia="Arial" w:hAnsi="Arial"/>
        <w:sz w:val="18"/>
        <w:szCs w:val="18"/>
      </w:rPr>
      <w:t xml:space="preserve">	</w:t>
    </w:r>
    <w:r>
      <w:rPr>
        <w:rFonts w:ascii="Arial" w:cs="Arial" w:eastAsia="Arial" w:hAnsi="Arial"/>
        <w:i/>
        <w:iCs/>
        <w:color w:val="888888"/>
        <w:sz w:val="18"/>
        <w:szCs w:val="18"/>
      </w:rPr>
      <w:t xml:space="preserve">Pink Paper — Mathematics Under Law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B5006E"/>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D81B87"/>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444444"/>
      <w:sz w:val="26"/>
      <w:szCs w:val="26"/>
    </w:rPr>
  </w:style>
  <w:style w:type="paragraph" w:styleId="Heading4">
    <w:name w:val="Heading 4"/>
    <w:basedOn w:val="Normal"/>
    <w:next w:val="Normal"/>
    <w:qFormat/>
    <w:pPr>
      <w:spacing w:after="80" w:before="200"/>
      <w:outlineLvl w:val="3"/>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2026-06-03T21:21:48.364Z</dcterms:created>
  <dcterms:modified xsi:type="dcterms:W3CDTF">2026-06-03T21:21:48.365Z</dcterms:modified>
</cp:coreProperties>
</file>

<file path=docProps/custom.xml><?xml version="1.0" encoding="utf-8"?>
<Properties xmlns="http://schemas.openxmlformats.org/officeDocument/2006/custom-properties" xmlns:vt="http://schemas.openxmlformats.org/officeDocument/2006/docPropsVTypes"/>
</file>