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5B" w:rsidRDefault="00B164D1">
      <w:r>
        <w:t>Quello che ho trovato sulle BIA</w:t>
      </w:r>
    </w:p>
    <w:p w:rsidR="00F5070D" w:rsidRPr="00F5070D" w:rsidRDefault="00F5070D">
      <w:pPr>
        <w:rPr>
          <w:b/>
        </w:rPr>
      </w:pPr>
      <w:r w:rsidRPr="00F5070D">
        <w:rPr>
          <w:b/>
        </w:rPr>
        <w:t>FONTE 1</w:t>
      </w:r>
    </w:p>
    <w:p w:rsidR="00B164D1" w:rsidRDefault="00B164D1" w:rsidP="00B164D1">
      <w:r>
        <w:rPr>
          <w:rStyle w:val="Enfasigrassetto"/>
        </w:rPr>
        <w:t>Business Impact Analysis (BIA) -</w:t>
      </w:r>
      <w:r>
        <w:t xml:space="preserve"> </w:t>
      </w:r>
      <w:r>
        <w:t xml:space="preserve">Il processo di analizzare tutte le </w:t>
      </w:r>
      <w:r w:rsidRPr="00322992">
        <w:rPr>
          <w:b/>
        </w:rPr>
        <w:t>funzioni di business</w:t>
      </w:r>
      <w:r>
        <w:t xml:space="preserve"> e l’effetto che uno specifico disastro potrebbe avere su di esse.</w:t>
      </w:r>
    </w:p>
    <w:p w:rsidR="00322992" w:rsidRDefault="00322992" w:rsidP="00B164D1">
      <w:pPr>
        <w:rPr>
          <w:rFonts w:cstheme="minorHAnsi"/>
        </w:rPr>
      </w:pPr>
      <w:r w:rsidRPr="00322992">
        <w:rPr>
          <w:rFonts w:cstheme="minorHAnsi"/>
          <w:b/>
          <w:color w:val="000000"/>
        </w:rPr>
        <w:t xml:space="preserve">Business </w:t>
      </w:r>
      <w:proofErr w:type="spellStart"/>
      <w:r w:rsidRPr="00322992">
        <w:rPr>
          <w:rFonts w:cstheme="minorHAnsi"/>
          <w:b/>
          <w:color w:val="000000"/>
        </w:rPr>
        <w:t>function</w:t>
      </w:r>
      <w:proofErr w:type="spellEnd"/>
      <w:r w:rsidRPr="00322992">
        <w:rPr>
          <w:rFonts w:cstheme="minorHAnsi"/>
          <w:color w:val="000000"/>
        </w:rPr>
        <w:t>: Un processo o un'operazione che viene eseguita regolarmente per svolgere una parte della missione di un'organizzazione.</w:t>
      </w:r>
      <w:r>
        <w:rPr>
          <w:rFonts w:cstheme="minorHAnsi"/>
          <w:color w:val="000000"/>
        </w:rPr>
        <w:t xml:space="preserve"> Missione intesa come avvicinamento ai requisiti di business. C’entrano anche le VBF?</w:t>
      </w:r>
      <w:r w:rsidRPr="00322992">
        <w:rPr>
          <w:rFonts w:cstheme="minorHAnsi"/>
        </w:rPr>
        <w:br/>
      </w:r>
    </w:p>
    <w:p w:rsidR="00F5070D" w:rsidRPr="00F5070D" w:rsidRDefault="00F5070D" w:rsidP="00B164D1">
      <w:pPr>
        <w:rPr>
          <w:rFonts w:cstheme="minorHAnsi"/>
          <w:b/>
        </w:rPr>
      </w:pPr>
      <w:r w:rsidRPr="00F5070D">
        <w:rPr>
          <w:rFonts w:cstheme="minorHAnsi"/>
          <w:b/>
        </w:rPr>
        <w:t>FONTE 2</w:t>
      </w:r>
    </w:p>
    <w:p w:rsidR="00F5070D" w:rsidRDefault="00F5070D" w:rsidP="00F5070D">
      <w:r>
        <w:t>Lo scopo della BIA è di identificare e dare priorità alle componenti del sistema correlandole ai processi di business che il sistema supporta, e usando queste informazioni (priorità) per carat</w:t>
      </w:r>
      <w:r w:rsidR="00140C45">
        <w:t>t</w:t>
      </w:r>
      <w:r>
        <w:t>erizzare l’impatto sui processi se il sistema non fosse disponibile.</w:t>
      </w:r>
    </w:p>
    <w:p w:rsidR="00F5070D" w:rsidRDefault="00F5070D" w:rsidP="00F5070D">
      <w:r>
        <w:t xml:space="preserve">The BIA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</w:p>
    <w:p w:rsidR="005A1B2E" w:rsidRDefault="005A1B2E" w:rsidP="005A1B2E">
      <w:pPr>
        <w:pStyle w:val="Paragrafoelenco"/>
        <w:numPr>
          <w:ilvl w:val="0"/>
          <w:numId w:val="1"/>
        </w:numPr>
      </w:pPr>
      <w:r>
        <w:t xml:space="preserve">Determinazione dei processi di business e della criticità del recupero: vengono identificati i processi di business supportati dal sistema e viene determinato l’impatto di un’interruzione del sistema su tali processi e i tempi di inattività stimati. </w:t>
      </w:r>
      <w:r>
        <w:tab/>
        <w:t>Il tempo di inattività dovrebbe essere il massimo che un’organizzazione può tollerare pur continuando a offrire servizi (portare avanti la missione);</w:t>
      </w:r>
    </w:p>
    <w:p w:rsidR="005A1B2E" w:rsidRDefault="005A1B2E" w:rsidP="005A1B2E">
      <w:pPr>
        <w:pStyle w:val="Paragrafoelenco"/>
        <w:numPr>
          <w:ilvl w:val="0"/>
          <w:numId w:val="1"/>
        </w:numPr>
      </w:pPr>
      <w:r>
        <w:t>Identificazione dei requisiti delle risorse: g</w:t>
      </w:r>
      <w:r w:rsidRPr="005A1B2E">
        <w:t>li sforzi di recupero realistici richiedono una valutazione approfondita delle risorse necessarie per riprendere il più rapidamente po</w:t>
      </w:r>
      <w:r>
        <w:t>ssibile i processi di</w:t>
      </w:r>
      <w:r w:rsidRPr="005A1B2E">
        <w:t xml:space="preserve"> business e le interdipendenze correlate. Esempi di risorse che dovrebbero essere identificate includono strutture, personale, attrezzature, software, file di dati, compon</w:t>
      </w:r>
      <w:r>
        <w:t>enti di sistema e record vitali;</w:t>
      </w:r>
    </w:p>
    <w:p w:rsidR="005A1B2E" w:rsidRDefault="005A1B2E" w:rsidP="005A1B2E">
      <w:pPr>
        <w:pStyle w:val="Paragrafoelenco"/>
        <w:numPr>
          <w:ilvl w:val="0"/>
          <w:numId w:val="1"/>
        </w:numPr>
      </w:pPr>
      <w:r>
        <w:t>Identificazione delle priorità di ripristino per le risorse del sistema:</w:t>
      </w:r>
      <w:r w:rsidRPr="005A1B2E">
        <w:t xml:space="preserve"> </w:t>
      </w:r>
      <w:r w:rsidRPr="005A1B2E">
        <w:rPr>
          <w:u w:val="single"/>
        </w:rPr>
        <w:t>sulla</w:t>
      </w:r>
      <w:r w:rsidRPr="005A1B2E">
        <w:t xml:space="preserve"> base dei risultati delle attività precedenti, le risorse di sistema possono essere più chiaramente collegate a processi di missione / business critici. È possibile stabilire livelli di priorità per sequenziare le attività e le risorse di recupero.</w:t>
      </w:r>
    </w:p>
    <w:p w:rsidR="002A3B1A" w:rsidRDefault="002A3B1A" w:rsidP="002A3B1A">
      <w:r>
        <w:t>Finita la BIA, in base alle criticità dei processi si scelgono le opzioni di ripristino più opportune.</w:t>
      </w:r>
    </w:p>
    <w:p w:rsidR="00BC44D7" w:rsidRPr="001363C1" w:rsidRDefault="00BC44D7" w:rsidP="00BC44D7">
      <w:pPr>
        <w:pStyle w:val="NumberList1"/>
        <w:numPr>
          <w:ilvl w:val="0"/>
          <w:numId w:val="0"/>
        </w:numPr>
      </w:pPr>
      <w:r>
        <w:t xml:space="preserve">The following reports are derived from the BIA: </w:t>
      </w:r>
    </w:p>
    <w:sdt>
      <w:sdtPr>
        <w:rPr>
          <w:b w:val="0"/>
          <w:bCs w:val="0"/>
          <w:color w:val="000000"/>
        </w:rPr>
        <w:alias w:val="cbpServicesTable"/>
        <w:tag w:val="cbpServicesTable"/>
        <w:id w:val="859859214"/>
      </w:sdtPr>
      <w:sdtEndPr>
        <w:rPr>
          <w:bCs/>
          <w:color w:val="0000FF"/>
        </w:rPr>
      </w:sdtEndPr>
      <w:sdtContent>
        <w:tbl>
          <w:tblPr>
            <w:tblW w:w="10065" w:type="dxa"/>
            <w:jc w:val="center"/>
            <w:tbl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18" w:space="0" w:color="4BACC6"/>
              <w:insideV w:val="single" w:sz="18" w:space="0" w:color="4BACC6"/>
            </w:tblBorders>
            <w:tblLayout w:type="fixed"/>
            <w:tblLook w:val="00A0" w:firstRow="1" w:lastRow="0" w:firstColumn="1" w:lastColumn="0" w:noHBand="0" w:noVBand="0"/>
          </w:tblPr>
          <w:tblGrid>
            <w:gridCol w:w="10065"/>
          </w:tblGrid>
          <w:tr w:rsidR="00BC44D7" w:rsidRPr="00EE293A" w:rsidTr="00160A11">
            <w:trPr>
              <w:cantSplit/>
              <w:trHeight w:val="161"/>
              <w:tblHeader/>
              <w:jc w:val="center"/>
            </w:trPr>
            <w:tc>
              <w:tcPr>
                <w:tcW w:w="10065" w:type="dxa"/>
                <w:tcBorders>
                  <w:bottom w:val="single" w:sz="18" w:space="0" w:color="4BACC6"/>
                </w:tcBorders>
                <w:shd w:val="clear" w:color="auto" w:fill="D2EAF1"/>
              </w:tcPr>
              <w:p w:rsidR="00BC44D7" w:rsidRPr="00D47856" w:rsidRDefault="00BC44D7" w:rsidP="00160A11">
                <w:pPr>
                  <w:pStyle w:val="TableTextHeader"/>
                  <w:rPr>
                    <w:bCs w:val="0"/>
                    <w:color w:val="000000"/>
                  </w:rPr>
                </w:pPr>
                <w:r>
                  <w:rPr>
                    <w:bCs w:val="0"/>
                    <w:color w:val="000000"/>
                  </w:rPr>
                  <w:t>BUSINESS PROCESSES DEPENDENT ON THIS SERVICE</w:t>
                </w:r>
              </w:p>
            </w:tc>
          </w:tr>
          <w:tr w:rsidR="00BC44D7" w:rsidRPr="00EE293A" w:rsidTr="00160A11">
            <w:trPr>
              <w:cantSplit/>
              <w:trHeight w:val="432"/>
              <w:jc w:val="center"/>
            </w:trPr>
            <w:tc>
              <w:tcPr>
                <w:tcW w:w="10065" w:type="dxa"/>
                <w:tcBorders>
                  <w:top w:val="single" w:sz="18" w:space="0" w:color="4BACC6"/>
                  <w:bottom w:val="single" w:sz="8" w:space="0" w:color="4BACC6"/>
                </w:tcBorders>
                <w:shd w:val="clear" w:color="auto" w:fill="auto"/>
              </w:tcPr>
              <w:p w:rsidR="00BC44D7" w:rsidRPr="00365C35" w:rsidRDefault="00BC44D7" w:rsidP="00160A11">
                <w:pPr>
                  <w:pStyle w:val="TableTextContent"/>
                  <w:keepNext/>
                  <w:rPr>
                    <w:b/>
                    <w:bCs/>
                    <w:color w:val="0000FF"/>
                  </w:rPr>
                </w:pPr>
              </w:p>
            </w:tc>
          </w:tr>
        </w:tbl>
      </w:sdtContent>
    </w:sdt>
    <w:p w:rsidR="00BC44D7" w:rsidRPr="000F7F5D" w:rsidRDefault="00BC44D7" w:rsidP="00BC44D7">
      <w:pPr>
        <w:pStyle w:val="Didascalia"/>
        <w:rPr>
          <w:i w:val="0"/>
          <w:color w:val="000000"/>
        </w:rPr>
      </w:pPr>
      <w:bookmarkStart w:id="0" w:name="_Toc392079447"/>
      <w:r>
        <w:t xml:space="preserve"> </w:t>
      </w:r>
      <w:r w:rsidRPr="00985025">
        <w:t>Step 1 – Critical Business Process Mapping/IS Services</w:t>
      </w:r>
      <w:bookmarkEnd w:id="0"/>
    </w:p>
    <w:p w:rsidR="00BC44D7" w:rsidRDefault="00BC44D7" w:rsidP="00BC44D7">
      <w:pPr>
        <w:pStyle w:val="BodyCopy"/>
        <w:ind w:left="360"/>
        <w:rPr>
          <w:i/>
          <w:color w:val="000000"/>
        </w:rPr>
      </w:pPr>
    </w:p>
    <w:sdt>
      <w:sdtPr>
        <w:rPr>
          <w:b w:val="0"/>
          <w:bCs w:val="0"/>
          <w:color w:val="000000"/>
        </w:rPr>
        <w:alias w:val="serviceMTDTable"/>
        <w:tag w:val="serviceMTDTable"/>
        <w:id w:val="-1559934348"/>
      </w:sdtPr>
      <w:sdtEndPr>
        <w:rPr>
          <w:b/>
          <w:bCs/>
          <w:color w:val="0000FF"/>
        </w:rPr>
      </w:sdtEndPr>
      <w:sdtContent>
        <w:tbl>
          <w:tblPr>
            <w:tblW w:w="10117" w:type="dxa"/>
            <w:jc w:val="center"/>
            <w:tbl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18" w:space="0" w:color="4BACC6"/>
              <w:insideV w:val="single" w:sz="8" w:space="0" w:color="4BACC6"/>
            </w:tblBorders>
            <w:tblLayout w:type="fixed"/>
            <w:tblLook w:val="00A0" w:firstRow="1" w:lastRow="0" w:firstColumn="1" w:lastColumn="0" w:noHBand="0" w:noVBand="0"/>
          </w:tblPr>
          <w:tblGrid>
            <w:gridCol w:w="7612"/>
            <w:gridCol w:w="2505"/>
          </w:tblGrid>
          <w:tr w:rsidR="00BC44D7" w:rsidRPr="00EE293A" w:rsidTr="00160A11">
            <w:trPr>
              <w:cantSplit/>
              <w:trHeight w:val="184"/>
              <w:tblHeader/>
              <w:jc w:val="center"/>
            </w:trPr>
            <w:tc>
              <w:tcPr>
                <w:tcW w:w="7612" w:type="dxa"/>
                <w:shd w:val="clear" w:color="auto" w:fill="D2EAF1"/>
              </w:tcPr>
              <w:p w:rsidR="00BC44D7" w:rsidRPr="00D47856" w:rsidRDefault="00BC44D7" w:rsidP="00160A11">
                <w:pPr>
                  <w:pStyle w:val="TableTextHeader"/>
                  <w:tabs>
                    <w:tab w:val="center" w:pos="705"/>
                  </w:tabs>
                  <w:rPr>
                    <w:bCs w:val="0"/>
                    <w:color w:val="000000"/>
                  </w:rPr>
                </w:pPr>
                <w:r>
                  <w:rPr>
                    <w:bCs w:val="0"/>
                    <w:color w:val="000000"/>
                  </w:rPr>
                  <w:t>BUSINESS/SERVICE LINE</w:t>
                </w:r>
              </w:p>
            </w:tc>
            <w:tc>
              <w:tcPr>
                <w:tcW w:w="2505" w:type="dxa"/>
                <w:shd w:val="clear" w:color="auto" w:fill="D2EAF1"/>
              </w:tcPr>
              <w:p w:rsidR="00BC44D7" w:rsidRPr="00D47856" w:rsidRDefault="00BC44D7" w:rsidP="00160A11">
                <w:pPr>
                  <w:pStyle w:val="TableTextHeader"/>
                  <w:rPr>
                    <w:bCs w:val="0"/>
                    <w:color w:val="000000"/>
                  </w:rPr>
                </w:pPr>
                <w:r>
                  <w:rPr>
                    <w:bCs w:val="0"/>
                    <w:color w:val="000000"/>
                  </w:rPr>
                  <w:t>MTD</w:t>
                </w:r>
              </w:p>
            </w:tc>
          </w:tr>
          <w:tr w:rsidR="00BC44D7" w:rsidRPr="00EE293A" w:rsidTr="00160A11">
            <w:trPr>
              <w:cantSplit/>
              <w:trHeight w:val="432"/>
              <w:jc w:val="center"/>
            </w:trPr>
            <w:tc>
              <w:tcPr>
                <w:tcW w:w="7612" w:type="dxa"/>
                <w:shd w:val="clear" w:color="auto" w:fill="auto"/>
              </w:tcPr>
              <w:p w:rsidR="00BC44D7" w:rsidRPr="00365C35" w:rsidRDefault="00BC44D7" w:rsidP="00160A11">
                <w:pPr>
                  <w:pStyle w:val="TableTextContent"/>
                  <w:rPr>
                    <w:b/>
                    <w:bCs/>
                    <w:color w:val="0000FF"/>
                  </w:rPr>
                </w:pPr>
              </w:p>
            </w:tc>
            <w:tc>
              <w:tcPr>
                <w:tcW w:w="2505" w:type="dxa"/>
                <w:shd w:val="clear" w:color="auto" w:fill="auto"/>
              </w:tcPr>
              <w:p w:rsidR="00BC44D7" w:rsidRPr="00365C35" w:rsidRDefault="00BC44D7" w:rsidP="00160A11">
                <w:pPr>
                  <w:pStyle w:val="TableTextContent"/>
                  <w:keepNext/>
                  <w:rPr>
                    <w:b/>
                    <w:bCs/>
                    <w:color w:val="0000FF"/>
                  </w:rPr>
                </w:pPr>
              </w:p>
            </w:tc>
          </w:tr>
        </w:tbl>
      </w:sdtContent>
    </w:sdt>
    <w:p w:rsidR="00BC44D7" w:rsidRDefault="00BC44D7" w:rsidP="00BC44D7">
      <w:pPr>
        <w:pStyle w:val="Didascalia"/>
      </w:pPr>
      <w:bookmarkStart w:id="1" w:name="_Toc392079448"/>
      <w:r>
        <w:t xml:space="preserve"> </w:t>
      </w:r>
      <w:r w:rsidRPr="006D4BEA">
        <w:t xml:space="preserve">Step 1 – </w:t>
      </w:r>
      <w:r>
        <w:t>Business/Service</w:t>
      </w:r>
      <w:r w:rsidRPr="006D4BEA">
        <w:t xml:space="preserve"> Line Maximum Tolerable Downtime (MTD)</w:t>
      </w:r>
      <w:bookmarkEnd w:id="1"/>
    </w:p>
    <w:p w:rsidR="00BC44D7" w:rsidRDefault="00BC44D7" w:rsidP="00BC44D7"/>
    <w:p w:rsidR="00BC44D7" w:rsidRDefault="00BC44D7" w:rsidP="00BC44D7"/>
    <w:p w:rsidR="00BC44D7" w:rsidRPr="00F34C64" w:rsidRDefault="00BC44D7" w:rsidP="00BC44D7"/>
    <w:sdt>
      <w:sdtPr>
        <w:rPr>
          <w:b w:val="0"/>
          <w:bCs w:val="0"/>
          <w:color w:val="000000"/>
        </w:rPr>
        <w:alias w:val="serviceRTOTable"/>
        <w:tag w:val="serviceRTOTable"/>
        <w:id w:val="180176717"/>
      </w:sdtPr>
      <w:sdtEndPr>
        <w:rPr>
          <w:b/>
          <w:bCs/>
          <w:color w:val="0000FF"/>
        </w:rPr>
      </w:sdtEndPr>
      <w:sdtContent>
        <w:tbl>
          <w:tblPr>
            <w:tblW w:w="10084" w:type="dxa"/>
            <w:jc w:val="center"/>
            <w:tbl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  <w:insideH w:val="single" w:sz="18" w:space="0" w:color="4BACC6"/>
              <w:insideV w:val="single" w:sz="8" w:space="0" w:color="4BACC6"/>
            </w:tblBorders>
            <w:tblLayout w:type="fixed"/>
            <w:tblLook w:val="00A0" w:firstRow="1" w:lastRow="0" w:firstColumn="1" w:lastColumn="0" w:noHBand="0" w:noVBand="0"/>
          </w:tblPr>
          <w:tblGrid>
            <w:gridCol w:w="7585"/>
            <w:gridCol w:w="2499"/>
          </w:tblGrid>
          <w:tr w:rsidR="00BC44D7" w:rsidRPr="00EE293A" w:rsidTr="00160A11">
            <w:trPr>
              <w:cantSplit/>
              <w:trHeight w:val="193"/>
              <w:tblHeader/>
              <w:jc w:val="center"/>
            </w:trPr>
            <w:tc>
              <w:tcPr>
                <w:tcW w:w="7585" w:type="dxa"/>
                <w:shd w:val="clear" w:color="auto" w:fill="D2EAF1"/>
              </w:tcPr>
              <w:p w:rsidR="00BC44D7" w:rsidRPr="00D47856" w:rsidRDefault="00BC44D7" w:rsidP="00160A11">
                <w:pPr>
                  <w:pStyle w:val="TableTextHeader"/>
                  <w:tabs>
                    <w:tab w:val="center" w:pos="705"/>
                  </w:tabs>
                  <w:rPr>
                    <w:bCs w:val="0"/>
                    <w:color w:val="000000"/>
                  </w:rPr>
                </w:pPr>
                <w:r w:rsidRPr="00B2492A">
                  <w:rPr>
                    <w:bCs w:val="0"/>
                    <w:color w:val="000000"/>
                  </w:rPr>
                  <w:t xml:space="preserve">IS </w:t>
                </w:r>
                <w:r>
                  <w:rPr>
                    <w:bCs w:val="0"/>
                    <w:color w:val="000000"/>
                  </w:rPr>
                  <w:t>SERVICE</w:t>
                </w:r>
              </w:p>
            </w:tc>
            <w:tc>
              <w:tcPr>
                <w:tcW w:w="2499" w:type="dxa"/>
                <w:shd w:val="clear" w:color="auto" w:fill="D2EAF1"/>
              </w:tcPr>
              <w:p w:rsidR="00BC44D7" w:rsidRPr="00D47856" w:rsidRDefault="00BC44D7" w:rsidP="00160A11">
                <w:pPr>
                  <w:pStyle w:val="TableTextHeader"/>
                  <w:rPr>
                    <w:bCs w:val="0"/>
                    <w:color w:val="000000"/>
                  </w:rPr>
                </w:pPr>
                <w:r>
                  <w:rPr>
                    <w:bCs w:val="0"/>
                    <w:color w:val="000000"/>
                  </w:rPr>
                  <w:t>RTO</w:t>
                </w:r>
              </w:p>
            </w:tc>
          </w:tr>
          <w:tr w:rsidR="00BC44D7" w:rsidRPr="00EE293A" w:rsidTr="00160A11">
            <w:trPr>
              <w:cantSplit/>
              <w:trHeight w:val="432"/>
              <w:jc w:val="center"/>
            </w:trPr>
            <w:tc>
              <w:tcPr>
                <w:tcW w:w="7585" w:type="dxa"/>
                <w:shd w:val="clear" w:color="auto" w:fill="auto"/>
              </w:tcPr>
              <w:p w:rsidR="00BC44D7" w:rsidRPr="00365C35" w:rsidRDefault="00BC44D7" w:rsidP="00160A11">
                <w:pPr>
                  <w:pStyle w:val="TableTextContent"/>
                  <w:rPr>
                    <w:b/>
                    <w:bCs/>
                    <w:color w:val="0000FF"/>
                  </w:rPr>
                </w:pPr>
              </w:p>
            </w:tc>
            <w:tc>
              <w:tcPr>
                <w:tcW w:w="2499" w:type="dxa"/>
                <w:shd w:val="clear" w:color="auto" w:fill="auto"/>
              </w:tcPr>
              <w:p w:rsidR="00BC44D7" w:rsidRPr="00365C35" w:rsidRDefault="00BC44D7" w:rsidP="00160A11">
                <w:pPr>
                  <w:pStyle w:val="TableTextContent"/>
                  <w:keepNext/>
                  <w:rPr>
                    <w:b/>
                    <w:bCs/>
                    <w:color w:val="0000FF"/>
                  </w:rPr>
                </w:pPr>
              </w:p>
            </w:tc>
          </w:tr>
        </w:tbl>
      </w:sdtContent>
    </w:sdt>
    <w:p w:rsidR="00BC44D7" w:rsidRPr="00F34C64" w:rsidRDefault="00BC44D7" w:rsidP="00BC44D7">
      <w:pPr>
        <w:pStyle w:val="Didascalia"/>
      </w:pPr>
      <w:bookmarkStart w:id="2" w:name="_Toc392079449"/>
      <w:r>
        <w:t xml:space="preserve"> </w:t>
      </w:r>
      <w:r w:rsidRPr="00FB0995">
        <w:t>Step 2 – IS Service Recovery Time Objective (RTO)</w:t>
      </w:r>
      <w:bookmarkEnd w:id="2"/>
    </w:p>
    <w:tbl>
      <w:tblPr>
        <w:tblStyle w:val="Grigliatabella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 w:firstRow="1" w:lastRow="0" w:firstColumn="1" w:lastColumn="0" w:noHBand="0" w:noVBand="1"/>
        <w:tblCaption w:val="Step 2 Business/Service Line MTD/RTO Gap Analysis"/>
      </w:tblPr>
      <w:tblGrid>
        <w:gridCol w:w="2497"/>
        <w:gridCol w:w="2382"/>
        <w:gridCol w:w="2376"/>
        <w:gridCol w:w="2377"/>
      </w:tblGrid>
      <w:tr w:rsidR="00BC44D7" w:rsidTr="00160A11">
        <w:trPr>
          <w:cantSplit/>
          <w:tblHeader/>
        </w:trPr>
        <w:tc>
          <w:tcPr>
            <w:tcW w:w="2574" w:type="dxa"/>
            <w:tcBorders>
              <w:top w:val="single" w:sz="18" w:space="0" w:color="4BACC6"/>
              <w:left w:val="single" w:sz="2" w:space="0" w:color="4BACC6"/>
              <w:bottom w:val="single" w:sz="18" w:space="0" w:color="4BACC6"/>
              <w:right w:val="single" w:sz="2" w:space="0" w:color="4BACC6"/>
            </w:tcBorders>
            <w:shd w:val="clear" w:color="auto" w:fill="D2EAF1"/>
          </w:tcPr>
          <w:p w:rsidR="00BC44D7" w:rsidRPr="00D47856" w:rsidRDefault="00BC44D7" w:rsidP="00160A11">
            <w:pPr>
              <w:pStyle w:val="TableTextHeader"/>
              <w:tabs>
                <w:tab w:val="center" w:pos="705"/>
              </w:tabs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BUSINESS/SERVICE LINE</w:t>
            </w:r>
          </w:p>
        </w:tc>
        <w:tc>
          <w:tcPr>
            <w:tcW w:w="2574" w:type="dxa"/>
            <w:tcBorders>
              <w:top w:val="single" w:sz="18" w:space="0" w:color="4BACC6"/>
              <w:left w:val="single" w:sz="2" w:space="0" w:color="4BACC6"/>
              <w:bottom w:val="single" w:sz="18" w:space="0" w:color="4BACC6"/>
              <w:right w:val="single" w:sz="2" w:space="0" w:color="4BACC6"/>
            </w:tcBorders>
            <w:shd w:val="clear" w:color="auto" w:fill="D2EAF1"/>
          </w:tcPr>
          <w:p w:rsidR="00BC44D7" w:rsidRPr="00D47856" w:rsidRDefault="00BC44D7" w:rsidP="00160A11">
            <w:pPr>
              <w:pStyle w:val="TableTextHeader"/>
              <w:tabs>
                <w:tab w:val="center" w:pos="705"/>
              </w:tabs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MTD</w:t>
            </w:r>
          </w:p>
        </w:tc>
        <w:tc>
          <w:tcPr>
            <w:tcW w:w="2574" w:type="dxa"/>
            <w:tcBorders>
              <w:top w:val="single" w:sz="18" w:space="0" w:color="4BACC6"/>
              <w:left w:val="single" w:sz="2" w:space="0" w:color="4BACC6"/>
              <w:bottom w:val="single" w:sz="18" w:space="0" w:color="4BACC6"/>
              <w:right w:val="single" w:sz="2" w:space="0" w:color="4BACC6"/>
            </w:tcBorders>
            <w:shd w:val="clear" w:color="auto" w:fill="D2EAF1"/>
          </w:tcPr>
          <w:p w:rsidR="00BC44D7" w:rsidRPr="00D47856" w:rsidRDefault="00BC44D7" w:rsidP="00160A11">
            <w:pPr>
              <w:pStyle w:val="TableTextHeader"/>
              <w:tabs>
                <w:tab w:val="center" w:pos="705"/>
              </w:tabs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RTO</w:t>
            </w:r>
          </w:p>
        </w:tc>
        <w:tc>
          <w:tcPr>
            <w:tcW w:w="2574" w:type="dxa"/>
            <w:tcBorders>
              <w:top w:val="single" w:sz="18" w:space="0" w:color="4BACC6"/>
              <w:left w:val="single" w:sz="2" w:space="0" w:color="4BACC6"/>
              <w:bottom w:val="single" w:sz="18" w:space="0" w:color="4BACC6"/>
              <w:right w:val="single" w:sz="2" w:space="0" w:color="4BACC6"/>
            </w:tcBorders>
            <w:shd w:val="clear" w:color="auto" w:fill="D2EAF1"/>
          </w:tcPr>
          <w:p w:rsidR="00BC44D7" w:rsidRPr="00D47856" w:rsidRDefault="00BC44D7" w:rsidP="00160A11">
            <w:pPr>
              <w:pStyle w:val="TableTextHeader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GAP</w:t>
            </w:r>
          </w:p>
        </w:tc>
      </w:tr>
      <w:tr w:rsidR="00BC44D7" w:rsidTr="00160A11">
        <w:trPr>
          <w:cantSplit/>
        </w:trPr>
        <w:tc>
          <w:tcPr>
            <w:tcW w:w="2574" w:type="dxa"/>
            <w:tcBorders>
              <w:top w:val="single" w:sz="18" w:space="0" w:color="4BACC6"/>
            </w:tcBorders>
          </w:tcPr>
          <w:p w:rsidR="00BC44D7" w:rsidRDefault="00BC44D7" w:rsidP="00160A11">
            <w:pPr>
              <w:pStyle w:val="BodyCopy"/>
              <w:rPr>
                <w:i/>
                <w:color w:val="000000"/>
              </w:rPr>
            </w:pPr>
          </w:p>
        </w:tc>
        <w:tc>
          <w:tcPr>
            <w:tcW w:w="2574" w:type="dxa"/>
            <w:tcBorders>
              <w:top w:val="single" w:sz="18" w:space="0" w:color="4BACC6"/>
            </w:tcBorders>
          </w:tcPr>
          <w:p w:rsidR="00BC44D7" w:rsidRDefault="00BC44D7" w:rsidP="00160A11">
            <w:pPr>
              <w:pStyle w:val="BodyCopy"/>
              <w:rPr>
                <w:i/>
                <w:color w:val="000000"/>
              </w:rPr>
            </w:pPr>
          </w:p>
        </w:tc>
        <w:tc>
          <w:tcPr>
            <w:tcW w:w="2574" w:type="dxa"/>
            <w:tcBorders>
              <w:top w:val="single" w:sz="18" w:space="0" w:color="4BACC6"/>
            </w:tcBorders>
          </w:tcPr>
          <w:p w:rsidR="00BC44D7" w:rsidRDefault="00BC44D7" w:rsidP="00160A11">
            <w:pPr>
              <w:pStyle w:val="BodyCopy"/>
              <w:rPr>
                <w:i/>
                <w:color w:val="000000"/>
              </w:rPr>
            </w:pPr>
          </w:p>
        </w:tc>
        <w:tc>
          <w:tcPr>
            <w:tcW w:w="2574" w:type="dxa"/>
            <w:tcBorders>
              <w:top w:val="single" w:sz="18" w:space="0" w:color="4BACC6"/>
            </w:tcBorders>
          </w:tcPr>
          <w:p w:rsidR="00BC44D7" w:rsidRDefault="00BC44D7" w:rsidP="00160A11">
            <w:pPr>
              <w:pStyle w:val="BodyCopy"/>
              <w:keepNext/>
              <w:rPr>
                <w:i/>
                <w:color w:val="000000"/>
              </w:rPr>
            </w:pPr>
          </w:p>
        </w:tc>
      </w:tr>
    </w:tbl>
    <w:p w:rsidR="00BC44D7" w:rsidRDefault="00BC44D7" w:rsidP="00BC44D7">
      <w:pPr>
        <w:pStyle w:val="Didascalia"/>
        <w:rPr>
          <w:i w:val="0"/>
          <w:color w:val="000000"/>
        </w:rPr>
      </w:pPr>
      <w:bookmarkStart w:id="3" w:name="_Toc392079450"/>
      <w:r w:rsidRPr="002B0700">
        <w:t xml:space="preserve">Step 2 </w:t>
      </w:r>
      <w:r>
        <w:t>Business/Service</w:t>
      </w:r>
      <w:r w:rsidRPr="002B0700">
        <w:t xml:space="preserve"> Line MTD/RTO Gap Analysis</w:t>
      </w:r>
      <w:bookmarkEnd w:id="3"/>
    </w:p>
    <w:p w:rsidR="00C2266B" w:rsidRDefault="00C2266B" w:rsidP="00F5070D"/>
    <w:p w:rsidR="00C2266B" w:rsidRDefault="00C2266B" w:rsidP="00F5070D">
      <w:r>
        <w:t>FONTE 4 – LIBRO</w:t>
      </w:r>
    </w:p>
    <w:p w:rsidR="00C2266B" w:rsidRDefault="00C2266B" w:rsidP="00F5070D">
      <w:r>
        <w:t xml:space="preserve">Secondo </w:t>
      </w:r>
      <w:proofErr w:type="gramStart"/>
      <w:r>
        <w:t>le slide</w:t>
      </w:r>
      <w:proofErr w:type="gramEnd"/>
      <w:r>
        <w:t xml:space="preserve">, le VBF Vital Business </w:t>
      </w:r>
      <w:proofErr w:type="spellStart"/>
      <w:r>
        <w:t>Functions</w:t>
      </w:r>
      <w:proofErr w:type="spellEnd"/>
      <w:r>
        <w:t>, sono gli elementi critici dei processi di business supportati dal servizio IT</w:t>
      </w:r>
      <w:r w:rsidR="006556D7">
        <w:t>. Deve essere fatta una analisi dei rischi sia per design dell’infrastruttura (</w:t>
      </w:r>
      <w:proofErr w:type="spellStart"/>
      <w:r w:rsidR="006556D7">
        <w:t>asset</w:t>
      </w:r>
      <w:proofErr w:type="spellEnd"/>
      <w:r w:rsidR="006556D7">
        <w:t>) che della organizzazione di supporto. Questo permette di valutare la vulnerabilità della configurazione.</w:t>
      </w:r>
    </w:p>
    <w:p w:rsidR="006556D7" w:rsidRDefault="006556D7" w:rsidP="00F5070D">
      <w:r>
        <w:t>Rischio: stima di livello di pericolo e del livello di vulnerabilità dell’organizzazione a quel pericolo.</w:t>
      </w:r>
    </w:p>
    <w:p w:rsidR="006556D7" w:rsidRDefault="006556D7" w:rsidP="00F5070D">
      <w:r>
        <w:t>Attività di analisi dei rischi:</w:t>
      </w:r>
    </w:p>
    <w:p w:rsidR="006556D7" w:rsidRDefault="006556D7" w:rsidP="006556D7">
      <w:pPr>
        <w:pStyle w:val="Paragrafoelenco"/>
        <w:numPr>
          <w:ilvl w:val="0"/>
          <w:numId w:val="3"/>
        </w:numPr>
      </w:pPr>
      <w:r>
        <w:t>Identificazione dei rischi: rischi a cui un componente dell’infrastruttura che supporta un processo di business è sottoposto. Un componente la cui rottura causa un’interruzione di servizio. Quindi di parla di componenti critiche;</w:t>
      </w:r>
    </w:p>
    <w:p w:rsidR="006556D7" w:rsidRDefault="006556D7" w:rsidP="006556D7">
      <w:pPr>
        <w:pStyle w:val="Paragrafoelenco"/>
        <w:numPr>
          <w:ilvl w:val="0"/>
          <w:numId w:val="3"/>
        </w:numPr>
      </w:pPr>
      <w:r>
        <w:t>Valutazione di minacce e livelli di vulnerabilità</w:t>
      </w:r>
      <w:r w:rsidR="000F7BCF">
        <w:t xml:space="preserve">. Minaccia: probabilità con cui </w:t>
      </w:r>
      <w:proofErr w:type="spellStart"/>
      <w:r w:rsidR="000F7BCF">
        <w:t>avverà</w:t>
      </w:r>
      <w:proofErr w:type="spellEnd"/>
      <w:r w:rsidR="000F7BCF">
        <w:t xml:space="preserve"> un degrado del servizio. Vulnerabilità: se e in che misura l’organizzazione sarà impattata dal presentarsi della minaccia;</w:t>
      </w:r>
    </w:p>
    <w:p w:rsidR="000F7BCF" w:rsidRDefault="000F7BCF" w:rsidP="006556D7">
      <w:pPr>
        <w:pStyle w:val="Paragrafoelenco"/>
        <w:numPr>
          <w:ilvl w:val="0"/>
          <w:numId w:val="3"/>
        </w:numPr>
      </w:pPr>
      <w:r>
        <w:t>Valutazione dei livelli di rischio per poi valutare il rischio complessivo.</w:t>
      </w:r>
    </w:p>
    <w:p w:rsidR="000F7BCF" w:rsidRDefault="000F7BCF" w:rsidP="000F7BCF">
      <w:r>
        <w:t xml:space="preserve">Tempo di ripristino: calcolato da quando il problema è stato riferito ed è diviso in tempo necessario allo spostamento (se intervento terza parte (potrebbe far parte del team preposto)) e il tempo necessario per la diagnosi e la riparazione. </w:t>
      </w:r>
      <w:proofErr w:type="spellStart"/>
      <w:r>
        <w:t>Restoration</w:t>
      </w:r>
      <w:proofErr w:type="spellEnd"/>
      <w:r>
        <w:t xml:space="preserve"> è il tempo necessario a riportare il servizio a funzionare correttamente (configurazione, inizializzazione, tempo per rendere il servizio disponibile all’utente).</w:t>
      </w:r>
    </w:p>
    <w:p w:rsidR="000F7BCF" w:rsidRDefault="000F7BCF" w:rsidP="000F7BCF">
      <w:r>
        <w:t>Si prendono i valori medi di quanto è stato misurato e si utilizzano per fare previsioni di disponibilità che ci si può aspettare in futuro da un servizio.</w:t>
      </w:r>
    </w:p>
    <w:p w:rsidR="000F7BCF" w:rsidRDefault="000F7BCF" w:rsidP="000F7BCF">
      <w:r>
        <w:t>Servizio disponibile: quando il cliente riceve il servizio offerto come indicato nello SLA.</w:t>
      </w:r>
    </w:p>
    <w:p w:rsidR="000F7BCF" w:rsidRDefault="000F7BCF" w:rsidP="000F7BCF">
      <w:r>
        <w:t xml:space="preserve">Importanza del </w:t>
      </w:r>
      <w:proofErr w:type="spellStart"/>
      <w:r>
        <w:t>downtime</w:t>
      </w:r>
      <w:proofErr w:type="spellEnd"/>
      <w:r>
        <w:t xml:space="preserve">: per l’azienda significa forza lavoro non utilizzabile, guadagni perduti e clienti finali insoddisfatti. La qualità del servizio è impattata dalla frequenza e durata del </w:t>
      </w:r>
      <w:proofErr w:type="spellStart"/>
      <w:r>
        <w:t>downtime</w:t>
      </w:r>
      <w:proofErr w:type="spellEnd"/>
      <w:r>
        <w:t>.</w:t>
      </w:r>
    </w:p>
    <w:p w:rsidR="008D6B03" w:rsidRDefault="008D6B03" w:rsidP="000F7BCF">
      <w:r>
        <w:t>FONTE 5 – SLIDE PARTE ITSCM</w:t>
      </w:r>
    </w:p>
    <w:p w:rsidR="008D6B03" w:rsidRDefault="008D6B03" w:rsidP="000F7BCF">
      <w:r>
        <w:t xml:space="preserve">Poiché ITSCM si occupa della perdita di servizio non prevista, essa è in stretto contatto con il piano di contingenza e infatti è di sua responsabilità. Si occupa di pianificare Cis alternativi e può anche pianificare un </w:t>
      </w:r>
      <w:proofErr w:type="spellStart"/>
      <w:r>
        <w:t>disater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(intera struttura alternativa). ITSCM si occupa di analisi dei rischi, studio delle opzioni, pianificazione delle alternative e documentazione del piano.</w:t>
      </w:r>
    </w:p>
    <w:p w:rsidR="00D2464B" w:rsidRDefault="00D2464B" w:rsidP="000F7BCF">
      <w:r>
        <w:t>La BIA consiste nella valutazione delle minacce che possono impattare sulle componenti/</w:t>
      </w:r>
      <w:proofErr w:type="spellStart"/>
      <w:r>
        <w:t>asset</w:t>
      </w:r>
      <w:proofErr w:type="spellEnd"/>
      <w:r>
        <w:t xml:space="preserve"> a supporto dei processi di business. Dopo la BIA si applicano contromisure per gestire i rischi del business proteggendo i beni. Le attività che devono essere svolte sono:</w:t>
      </w:r>
    </w:p>
    <w:p w:rsidR="00D2464B" w:rsidRDefault="00D2464B" w:rsidP="00D2464B">
      <w:pPr>
        <w:pStyle w:val="Paragrafoelenco"/>
        <w:numPr>
          <w:ilvl w:val="0"/>
          <w:numId w:val="4"/>
        </w:numPr>
      </w:pPr>
      <w:r>
        <w:t xml:space="preserve">Identificazione dei rischi: possibili rischi sono tutti </w:t>
      </w:r>
      <w:proofErr w:type="gramStart"/>
      <w:r>
        <w:t>nelle slide</w:t>
      </w:r>
      <w:proofErr w:type="gramEnd"/>
      <w:r>
        <w:t xml:space="preserve"> a pagina 88;</w:t>
      </w:r>
    </w:p>
    <w:p w:rsidR="00D2464B" w:rsidRDefault="00D2464B" w:rsidP="00D2464B">
      <w:pPr>
        <w:pStyle w:val="Paragrafoelenco"/>
        <w:numPr>
          <w:ilvl w:val="0"/>
          <w:numId w:val="4"/>
        </w:numPr>
      </w:pPr>
      <w:r>
        <w:t>Valutazione di livelli di minaccia e di vulnerabilità;</w:t>
      </w:r>
    </w:p>
    <w:p w:rsidR="00D2464B" w:rsidRDefault="00D2464B" w:rsidP="00D2464B">
      <w:pPr>
        <w:pStyle w:val="Paragrafoelenco"/>
        <w:numPr>
          <w:ilvl w:val="0"/>
          <w:numId w:val="4"/>
        </w:numPr>
      </w:pPr>
      <w:r>
        <w:lastRenderedPageBreak/>
        <w:t xml:space="preserve">Valutazione del livello di rischio complessivo: </w:t>
      </w:r>
      <w:proofErr w:type="spellStart"/>
      <w:r>
        <w:t>risk</w:t>
      </w:r>
      <w:proofErr w:type="spellEnd"/>
      <w:r>
        <w:t xml:space="preserve"> management si occupa di implementare azioni di rimedio per portare i rischi ad un livello accettabile</w:t>
      </w:r>
      <w:bookmarkStart w:id="4" w:name="_GoBack"/>
      <w:bookmarkEnd w:id="4"/>
      <w:r>
        <w:t xml:space="preserve">. Il piando di contingenza si occupa dei </w:t>
      </w:r>
      <w:r w:rsidRPr="00D2464B">
        <w:rPr>
          <w:b/>
        </w:rPr>
        <w:t>rischi residui</w:t>
      </w:r>
      <w:r>
        <w:t>.</w:t>
      </w:r>
    </w:p>
    <w:sectPr w:rsidR="00D246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CE2230E"/>
    <w:lvl w:ilvl="0">
      <w:start w:val="1"/>
      <w:numFmt w:val="decimal"/>
      <w:pStyle w:val="Number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4994688F"/>
    <w:multiLevelType w:val="hybridMultilevel"/>
    <w:tmpl w:val="654689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02FE4"/>
    <w:multiLevelType w:val="hybridMultilevel"/>
    <w:tmpl w:val="CD4EB5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23160"/>
    <w:multiLevelType w:val="hybridMultilevel"/>
    <w:tmpl w:val="BB286E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D1"/>
    <w:rsid w:val="000F7BCF"/>
    <w:rsid w:val="00140C45"/>
    <w:rsid w:val="002A3B1A"/>
    <w:rsid w:val="00322992"/>
    <w:rsid w:val="005A1B2E"/>
    <w:rsid w:val="006556D7"/>
    <w:rsid w:val="008D6B03"/>
    <w:rsid w:val="00B164D1"/>
    <w:rsid w:val="00BC44D7"/>
    <w:rsid w:val="00C2266B"/>
    <w:rsid w:val="00D2464B"/>
    <w:rsid w:val="00EB175B"/>
    <w:rsid w:val="00F5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243B"/>
  <w15:chartTrackingRefBased/>
  <w15:docId w15:val="{333E0590-2644-48AB-8459-3A274158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qFormat/>
    <w:rsid w:val="00B164D1"/>
    <w:rPr>
      <w:b/>
    </w:rPr>
  </w:style>
  <w:style w:type="paragraph" w:styleId="Paragrafoelenco">
    <w:name w:val="List Paragraph"/>
    <w:basedOn w:val="Normale"/>
    <w:uiPriority w:val="34"/>
    <w:qFormat/>
    <w:rsid w:val="005A1B2E"/>
    <w:pPr>
      <w:ind w:left="720"/>
      <w:contextualSpacing/>
    </w:pPr>
  </w:style>
  <w:style w:type="paragraph" w:styleId="Didascalia">
    <w:name w:val="caption"/>
    <w:aliases w:val="Table Caption"/>
    <w:basedOn w:val="Normale"/>
    <w:next w:val="Normale"/>
    <w:uiPriority w:val="99"/>
    <w:qFormat/>
    <w:rsid w:val="00BC44D7"/>
    <w:pPr>
      <w:keepNext/>
      <w:spacing w:before="70" w:after="140" w:line="280" w:lineRule="exact"/>
    </w:pPr>
    <w:rPr>
      <w:rFonts w:ascii="Calibri" w:eastAsia="Times New Roman" w:hAnsi="Calibri" w:cs="Calibri"/>
      <w:i/>
      <w:iCs/>
      <w:lang w:val="en-US"/>
    </w:rPr>
  </w:style>
  <w:style w:type="paragraph" w:customStyle="1" w:styleId="BodyCopy">
    <w:name w:val="Body Copy"/>
    <w:basedOn w:val="Normale"/>
    <w:qFormat/>
    <w:rsid w:val="00BC44D7"/>
    <w:pPr>
      <w:spacing w:after="280" w:line="240" w:lineRule="auto"/>
    </w:pPr>
    <w:rPr>
      <w:rFonts w:ascii="Calibri" w:eastAsia="Times New Roman" w:hAnsi="Calibri" w:cs="Calibri"/>
      <w:lang w:val="en-US"/>
    </w:rPr>
  </w:style>
  <w:style w:type="paragraph" w:customStyle="1" w:styleId="NumberList1">
    <w:name w:val="Number List 1"/>
    <w:basedOn w:val="Normale"/>
    <w:qFormat/>
    <w:rsid w:val="00BC44D7"/>
    <w:pPr>
      <w:numPr>
        <w:numId w:val="2"/>
      </w:numPr>
      <w:spacing w:after="280" w:line="240" w:lineRule="auto"/>
      <w:ind w:left="346" w:hanging="346"/>
    </w:pPr>
    <w:rPr>
      <w:rFonts w:ascii="Calibri" w:eastAsia="Times New Roman" w:hAnsi="Calibri" w:cs="Calibri"/>
      <w:lang w:val="en-US"/>
    </w:rPr>
  </w:style>
  <w:style w:type="paragraph" w:customStyle="1" w:styleId="TableTextHeader">
    <w:name w:val="Table Text Header"/>
    <w:basedOn w:val="Normale"/>
    <w:qFormat/>
    <w:rsid w:val="00BC44D7"/>
    <w:pPr>
      <w:spacing w:after="0" w:line="240" w:lineRule="auto"/>
    </w:pPr>
    <w:rPr>
      <w:rFonts w:ascii="Calibri" w:eastAsia="Times New Roman" w:hAnsi="Calibri" w:cs="Calibri"/>
      <w:b/>
      <w:bCs/>
      <w:lang w:val="en-US"/>
    </w:rPr>
  </w:style>
  <w:style w:type="paragraph" w:customStyle="1" w:styleId="TableTextContent">
    <w:name w:val="Table Text Content"/>
    <w:basedOn w:val="Normale"/>
    <w:qFormat/>
    <w:rsid w:val="00BC44D7"/>
    <w:pPr>
      <w:spacing w:after="0" w:line="240" w:lineRule="auto"/>
    </w:pPr>
    <w:rPr>
      <w:rFonts w:ascii="Calibri" w:eastAsia="Times New Roman" w:hAnsi="Calibri" w:cs="Calibri"/>
      <w:lang w:val="en-US"/>
    </w:rPr>
  </w:style>
  <w:style w:type="table" w:styleId="Grigliatabella">
    <w:name w:val="Table Grid"/>
    <w:basedOn w:val="Tabellanormale"/>
    <w:uiPriority w:val="59"/>
    <w:rsid w:val="00BC44D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7</cp:revision>
  <dcterms:created xsi:type="dcterms:W3CDTF">2018-07-24T12:50:00Z</dcterms:created>
  <dcterms:modified xsi:type="dcterms:W3CDTF">2018-07-24T14:33:00Z</dcterms:modified>
</cp:coreProperties>
</file>