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The HAM10000 training set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from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populations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Austrian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image set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consists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patients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referred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tertiary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European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referral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center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specialized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early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detection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melanoma in high risk groups.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group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patients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often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have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high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number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nevi and a personal or family history of melanoma.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Australian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image set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from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patients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primary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care facility </w:t>
      </w:r>
      <w:proofErr w:type="gram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 a</w:t>
      </w:r>
      <w:proofErr w:type="gram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high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skin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cancer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incidence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area.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Australian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patients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typified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severe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chronic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sun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damage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Chronic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sun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damaged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skin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characterized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multiple solar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lentigines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ectatic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vessels,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which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often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present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periphery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the target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Very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rarely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also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small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angiomas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seborrheic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collide with the target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remove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"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noise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"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also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remove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terminal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hairs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because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reflects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the situation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clinical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practice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most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albeit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always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the target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the center of the image.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images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both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study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sites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were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taken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devices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using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polarized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non-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polarized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The set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representative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examples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skin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practically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relevant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More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95%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encountered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during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clinical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practice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will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fall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into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one of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seven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diagnostic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categories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practice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the task of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clinician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differentiate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between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malignant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benign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but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also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make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specific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diagnoses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because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malignant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for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example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melanoma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basal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cell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carcinoma,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treated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gram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 a</w:t>
      </w:r>
      <w:proofErr w:type="gram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way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timeframe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With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exception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vascular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which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hemoglobin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melanin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have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completely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devoid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(for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example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amelanotic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melanoma). Non-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which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more diverse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have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larger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number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possible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differential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diagnoses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part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set.</w:t>
      </w:r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The following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description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diagnostic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categories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meant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for computer scientists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familiar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with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dermatology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literature:</w:t>
      </w:r>
    </w:p>
    <w:p w:rsidR="00CE1ADE" w:rsidRPr="00CE1ADE" w:rsidRDefault="00CE1ADE" w:rsidP="00CE1ADE">
      <w:pPr>
        <w:shd w:val="clear" w:color="auto" w:fill="FFFFFF"/>
        <w:spacing w:after="60" w:line="240" w:lineRule="auto"/>
        <w:outlineLvl w:val="2"/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</w:pPr>
      <w:proofErr w:type="spellStart"/>
      <w:r w:rsidRPr="00CE1ADE"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  <w:t>akiec</w:t>
      </w:r>
      <w:proofErr w:type="spellEnd"/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Actinic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(Solar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)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Intraepithelial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Carcinoma (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Bowen’s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disease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) are common non-invasive,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squamous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cell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carcinoma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can be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treated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locally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without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surgery. Some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authors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regard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them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precursors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squamous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cell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carcinomas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actual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carcinomas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There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however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agreement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these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progress to invasive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squamous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cell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carcinoma –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which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usually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Both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neoplasms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commonly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show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surface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scaling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commonly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devoid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Actinic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more common on the face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Bowen’s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disease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more common on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other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body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sites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Because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both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types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induced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UV-light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surrounding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skin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usually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typified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severe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sun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damaged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except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Bowen’s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disease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caused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human papilloma virus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infection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UV.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exist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Bowen’s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disease</w:t>
      </w:r>
      <w:hyperlink r:id="rId4" w:anchor="ref20" w:tooltip="Cameron, A., Rosendahl, C., Tschandl, P., Riedl, E. &amp; Kittler, H. Dermatoscopy of pigmented Bowen’s disease. J Am Acad Dermatol 62, 597–604 (2010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20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 and for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actinic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keratoses</w:t>
      </w:r>
      <w:hyperlink r:id="rId5" w:anchor="ref21" w:tooltip="Akay, B. N., Kocyigit, P., Heper, A. O. &amp; Erdem, C. Dermatoscopy of flat pigmented facial lesions: diagnostic challenge between pigmented actinic keratosis and lentigo maligna. Br J Dermatol 163, 1212–1217 (2010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21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both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set.</w:t>
      </w:r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criteria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actinic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Bowen’s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disease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described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detail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Zalaudek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 </w:t>
      </w:r>
      <w:r w:rsidRPr="00CE1ADE">
        <w:rPr>
          <w:rFonts w:ascii="Times" w:eastAsia="Times New Roman" w:hAnsi="Times" w:cs="Times"/>
          <w:i/>
          <w:iCs/>
          <w:color w:val="222222"/>
          <w:spacing w:val="3"/>
          <w:sz w:val="26"/>
          <w:szCs w:val="26"/>
          <w:lang w:eastAsia="it-IT"/>
        </w:rPr>
        <w:t>et al</w:t>
      </w: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  <w:hyperlink r:id="rId6" w:anchor="ref22" w:tooltip="Zalaudek, I. et al. Dermatoscopy of facial actinic keratosis, intraepidermal carcinoma, and invasive squamous cell carcinoma: a progression model. J. Am. Acad. Dermatol. 66, 589–597 (2012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22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19"/>
          <w:szCs w:val="19"/>
          <w:vertAlign w:val="superscript"/>
          <w:lang w:eastAsia="it-IT"/>
        </w:rPr>
        <w:t>,</w:t>
      </w:r>
      <w:hyperlink r:id="rId7" w:anchor="ref23" w:tooltip="Tschandl, P., Rosendahl, C. &amp; Kittler, H. Dermatoscopy of flat pigmented facial lesions. J Eur Acad Dermatol Venereol 29, 120–127 (2015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23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 and by Cameron </w:t>
      </w:r>
      <w:r w:rsidRPr="00CE1ADE">
        <w:rPr>
          <w:rFonts w:ascii="Times" w:eastAsia="Times New Roman" w:hAnsi="Times" w:cs="Times"/>
          <w:i/>
          <w:iCs/>
          <w:color w:val="222222"/>
          <w:spacing w:val="3"/>
          <w:sz w:val="26"/>
          <w:szCs w:val="26"/>
          <w:lang w:eastAsia="it-IT"/>
        </w:rPr>
        <w:t>et al</w:t>
      </w: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  <w:hyperlink r:id="rId8" w:anchor="ref20" w:tooltip="Cameron, A., Rosendahl, C., Tschandl, P., Riedl, E. &amp; Kittler, H. Dermatoscopy of pigmented Bowen’s disease. J Am Acad Dermatol 62, 597–604 (2010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20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</w:p>
    <w:p w:rsidR="00CE1ADE" w:rsidRPr="00CE1ADE" w:rsidRDefault="00CE1ADE" w:rsidP="00CE1ADE">
      <w:pPr>
        <w:shd w:val="clear" w:color="auto" w:fill="FFFFFF"/>
        <w:spacing w:after="60" w:line="240" w:lineRule="auto"/>
        <w:outlineLvl w:val="2"/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</w:pPr>
      <w:proofErr w:type="spellStart"/>
      <w:r w:rsidRPr="00CE1ADE"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  <w:t>bcc</w:t>
      </w:r>
      <w:proofErr w:type="spellEnd"/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Basal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cell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carcinoma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common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epithelial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skin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cancer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rarely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metastasizes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but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grows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destructively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if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untreated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appears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morphologic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lastRenderedPageBreak/>
        <w:t>variants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(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flat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nodular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cystic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),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which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described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more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detail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Lallas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 </w:t>
      </w:r>
      <w:r w:rsidRPr="00CE1ADE">
        <w:rPr>
          <w:rFonts w:ascii="Times" w:eastAsia="Times New Roman" w:hAnsi="Times" w:cs="Times"/>
          <w:i/>
          <w:iCs/>
          <w:color w:val="222222"/>
          <w:spacing w:val="3"/>
          <w:sz w:val="26"/>
          <w:szCs w:val="26"/>
          <w:lang w:eastAsia="it-IT"/>
        </w:rPr>
        <w:t>et al</w:t>
      </w: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  <w:hyperlink r:id="rId9" w:anchor="ref24" w:tooltip="Lallas, A. et al. The dermatoscopic universe of basal cell carcinoma. Dermatol Pract Concept 4, 11–24 (2014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24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</w:p>
    <w:p w:rsidR="00CE1ADE" w:rsidRPr="00CE1ADE" w:rsidRDefault="00CE1ADE" w:rsidP="00CE1ADE">
      <w:pPr>
        <w:shd w:val="clear" w:color="auto" w:fill="FFFFFF"/>
        <w:spacing w:after="60" w:line="240" w:lineRule="auto"/>
        <w:outlineLvl w:val="2"/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</w:pPr>
      <w:proofErr w:type="spellStart"/>
      <w:r w:rsidRPr="00CE1ADE"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  <w:t>bkl</w:t>
      </w:r>
      <w:proofErr w:type="spellEnd"/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"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Benign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"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generic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class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seborrheic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("senile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wart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"), solar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lentigo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-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which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can be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regarded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flat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seborrheic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- and lichen-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planus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like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(LPLK),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which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corresponds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seborrheic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or a solar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lentigo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with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inflammation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regression</w:t>
      </w:r>
      <w:hyperlink r:id="rId10" w:anchor="ref25" w:tooltip="Zaballos, P. et al. Studying regression of seborrheic keratosis in lichenoid keratosis with sequential dermoscopy imaging. Dermatology 220, 103–109 (2010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25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three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subgroups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look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dermatoscopically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but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grouped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them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together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because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they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similar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biologically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often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reported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under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same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generic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term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histopathologically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From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view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lichen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planus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-like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especially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challenging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because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they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can show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morphologic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features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mimicking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melanoma</w:t>
      </w:r>
      <w:hyperlink r:id="rId11" w:anchor="ref26" w:tooltip="Moscarella, E. et al. Lichenoid keratosis-like melanomas. J Am Acad Dermatol 65, e85, Van de (2011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26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 and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often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biopsied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excised</w:t>
      </w:r>
      <w:proofErr w:type="spellEnd"/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for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diagnostic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reasons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appearance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seborrheic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keratoses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according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anatomic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site and type</w:t>
      </w:r>
      <w:hyperlink r:id="rId12" w:anchor="ref27" w:tooltip="Braun, R. P. et al. Dermoscopy of pigmented seborrheic keratosis: a morphological study. Arch Dermatol 138, 1556–1560 (2002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27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</w:p>
    <w:p w:rsidR="00CE1ADE" w:rsidRPr="00CE1ADE" w:rsidRDefault="00CE1ADE" w:rsidP="00CE1ADE">
      <w:pPr>
        <w:shd w:val="clear" w:color="auto" w:fill="FFFFFF"/>
        <w:spacing w:after="60" w:line="240" w:lineRule="auto"/>
        <w:outlineLvl w:val="2"/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</w:pPr>
      <w:proofErr w:type="spellStart"/>
      <w:r w:rsidRPr="00CE1ADE"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  <w:t>df</w:t>
      </w:r>
      <w:proofErr w:type="spellEnd"/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Dermatofibroma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benign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skin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regarded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either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benign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proliferation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or an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inflammatory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reaction to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minimal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trauma.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most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common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presentation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reticular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lines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periphery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with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central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white patch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denoting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fibrosis</w:t>
      </w:r>
      <w:hyperlink r:id="rId13" w:anchor="ref28" w:tooltip="Zaballos, P., Puig, S., Llambrich, A. &amp; Malvehy, J. Dermoscopy of dermatofibromas: a prospective morphological study of 412 cases. Arch Dermatol 144, 75–83 (2008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28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</w:p>
    <w:p w:rsidR="00CE1ADE" w:rsidRPr="00CE1ADE" w:rsidRDefault="00CE1ADE" w:rsidP="00CE1ADE">
      <w:pPr>
        <w:shd w:val="clear" w:color="auto" w:fill="FFFFFF"/>
        <w:spacing w:after="60" w:line="240" w:lineRule="auto"/>
        <w:outlineLvl w:val="2"/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</w:pPr>
      <w:proofErr w:type="spellStart"/>
      <w:r w:rsidRPr="00CE1ADE"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  <w:t>nv</w:t>
      </w:r>
      <w:proofErr w:type="spellEnd"/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Melanocytic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nevi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benign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neoplasms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melanocytes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appear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gram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 a</w:t>
      </w:r>
      <w:proofErr w:type="gram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myriad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which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our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series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significantly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from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point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view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contrast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melanoma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they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usually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symmetric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with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regard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distribution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color and structure</w:t>
      </w:r>
      <w:hyperlink r:id="rId14" w:anchor="ref29" w:tooltip="Rosendahl, C., Cameron, A., McColl, I. &amp; Wilkinson, D. Dermatoscopy in routine practice - ’chaos and clues’. Aust Fam Physician 41, 482–487 (2012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29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</w:p>
    <w:p w:rsidR="00CE1ADE" w:rsidRPr="00CE1ADE" w:rsidRDefault="00CE1ADE" w:rsidP="00CE1ADE">
      <w:pPr>
        <w:shd w:val="clear" w:color="auto" w:fill="FFFFFF"/>
        <w:spacing w:after="60" w:line="240" w:lineRule="auto"/>
        <w:outlineLvl w:val="2"/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</w:pPr>
      <w:proofErr w:type="spellStart"/>
      <w:r w:rsidRPr="00CE1ADE"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  <w:t>mel</w:t>
      </w:r>
      <w:proofErr w:type="spellEnd"/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Melanoma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malignant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neoplasm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derived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from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melanocytes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appear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If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excised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an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early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stage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can be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cured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simple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surgical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excision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Melanomas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can be invasive or non-invasive (in situ).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variants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melanoma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including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melanoma in situ,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but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exclude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non-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pigmented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subungual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ocular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mucosal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melanoma.</w:t>
      </w:r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Melanomas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usually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albeit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always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chaotic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and some melanoma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specific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criteria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depend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anatomic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site</w:t>
      </w:r>
      <w:hyperlink r:id="rId15" w:anchor="ref23" w:tooltip="Tschandl, P., Rosendahl, C. &amp; Kittler, H. Dermatoscopy of flat pigmented facial lesions. J Eur Acad Dermatol Venereol 29, 120–127 (2015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23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19"/>
          <w:szCs w:val="19"/>
          <w:vertAlign w:val="superscript"/>
          <w:lang w:eastAsia="it-IT"/>
        </w:rPr>
        <w:t>,</w:t>
      </w:r>
      <w:hyperlink r:id="rId16" w:anchor="ref30" w:tooltip="Schiffner, R. et al. Improvement of early recognition of lentigo maligna using dermatoscopy. J. Am. Acad. Dermatol. 42, 25–32 (2000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30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</w:p>
    <w:p w:rsidR="00CE1ADE" w:rsidRPr="00CE1ADE" w:rsidRDefault="00CE1ADE" w:rsidP="00CE1ADE">
      <w:pPr>
        <w:shd w:val="clear" w:color="auto" w:fill="FFFFFF"/>
        <w:spacing w:after="60" w:line="240" w:lineRule="auto"/>
        <w:outlineLvl w:val="2"/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</w:pPr>
      <w:proofErr w:type="spellStart"/>
      <w:r w:rsidRPr="00CE1ADE">
        <w:rPr>
          <w:rFonts w:ascii="Times" w:eastAsia="Times New Roman" w:hAnsi="Times" w:cs="Times"/>
          <w:b/>
          <w:bCs/>
          <w:color w:val="222222"/>
          <w:spacing w:val="3"/>
          <w:sz w:val="27"/>
          <w:szCs w:val="27"/>
          <w:lang w:eastAsia="it-IT"/>
        </w:rPr>
        <w:t>vasc</w:t>
      </w:r>
      <w:proofErr w:type="spellEnd"/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Vascular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skin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the dataset range from cherry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angiomas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angiokeratomas</w:t>
      </w:r>
      <w:hyperlink r:id="rId17" w:anchor="ref31" w:tooltip="Zaballos, P. et al. Dermoscopy of solitary angiokeratomas: a morphological study. Arch Dermatol 143, 318–325 (2007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31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 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pyogenic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granulomas</w:t>
      </w:r>
      <w:hyperlink r:id="rId18" w:anchor="ref32" w:tooltip="Zaballos, P. et al. Dermoscopy of pyogenic granuloma: a morphological study. Br J Dermatol 163, 1229–1237 (2010)." w:history="1">
        <w:r w:rsidRPr="00CE1ADE">
          <w:rPr>
            <w:rFonts w:ascii="Times" w:eastAsia="Times New Roman" w:hAnsi="Times" w:cs="Times"/>
            <w:color w:val="006699"/>
            <w:spacing w:val="3"/>
            <w:sz w:val="19"/>
            <w:szCs w:val="19"/>
            <w:u w:val="single"/>
            <w:lang w:eastAsia="it-IT"/>
          </w:rPr>
          <w:t>32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Hemorrhage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also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included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in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category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Angiomas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are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dermatoscopically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characterized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by red 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purple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color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solid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well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circumscribed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structures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known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red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clods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lacunes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.</w:t>
      </w:r>
    </w:p>
    <w:p w:rsidR="00CE1ADE" w:rsidRPr="00CE1ADE" w:rsidRDefault="00CE1ADE" w:rsidP="00CE1ADE">
      <w:pPr>
        <w:shd w:val="clear" w:color="auto" w:fill="FFFFFF"/>
        <w:spacing w:after="420" w:line="240" w:lineRule="auto"/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</w:pPr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lastRenderedPageBreak/>
        <w:t xml:space="preserve">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number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images in the datasets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does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not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correspond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to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number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of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unique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,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because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we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also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provide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images of the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same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lesion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taken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magnifications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or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angles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(</w:t>
      </w:r>
      <w:hyperlink r:id="rId19" w:anchor="f4" w:history="1">
        <w:r w:rsidRPr="00CE1ADE">
          <w:rPr>
            <w:rFonts w:ascii="Times" w:eastAsia="Times New Roman" w:hAnsi="Times" w:cs="Times"/>
            <w:color w:val="006699"/>
            <w:spacing w:val="3"/>
            <w:sz w:val="26"/>
            <w:szCs w:val="26"/>
            <w:u w:val="single"/>
            <w:lang w:eastAsia="it-IT"/>
          </w:rPr>
          <w:t>Fig. 4</w:t>
        </w:r>
      </w:hyperlink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), or with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different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cameras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.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This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should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serve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natural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data-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augmentation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as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it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shows random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transformations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visualizes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both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general and </w:t>
      </w:r>
      <w:proofErr w:type="spellStart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>local</w:t>
      </w:r>
      <w:proofErr w:type="spellEnd"/>
      <w:r w:rsidRPr="00CE1ADE">
        <w:rPr>
          <w:rFonts w:ascii="Times" w:eastAsia="Times New Roman" w:hAnsi="Times" w:cs="Times"/>
          <w:color w:val="222222"/>
          <w:spacing w:val="3"/>
          <w:sz w:val="26"/>
          <w:szCs w:val="26"/>
          <w:lang w:eastAsia="it-IT"/>
        </w:rPr>
        <w:t xml:space="preserve"> features.</w:t>
      </w:r>
    </w:p>
    <w:p w:rsidR="00440AD8" w:rsidRDefault="00440AD8">
      <w:bookmarkStart w:id="0" w:name="_GoBack"/>
      <w:bookmarkEnd w:id="0"/>
    </w:p>
    <w:sectPr w:rsidR="00440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DE"/>
    <w:rsid w:val="00440AD8"/>
    <w:rsid w:val="00C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B302A-10CF-4F7A-AFA4-19B04CB6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CE1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E1AD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E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E1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data2018161" TargetMode="External"/><Relationship Id="rId13" Type="http://schemas.openxmlformats.org/officeDocument/2006/relationships/hyperlink" Target="https://www.nature.com/articles/sdata2018161" TargetMode="External"/><Relationship Id="rId18" Type="http://schemas.openxmlformats.org/officeDocument/2006/relationships/hyperlink" Target="https://www.nature.com/articles/sdata201816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ature.com/articles/sdata2018161" TargetMode="External"/><Relationship Id="rId12" Type="http://schemas.openxmlformats.org/officeDocument/2006/relationships/hyperlink" Target="https://www.nature.com/articles/sdata2018161" TargetMode="External"/><Relationship Id="rId17" Type="http://schemas.openxmlformats.org/officeDocument/2006/relationships/hyperlink" Target="https://www.nature.com/articles/sdata20181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ature.com/articles/sdata201816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data2018161" TargetMode="External"/><Relationship Id="rId11" Type="http://schemas.openxmlformats.org/officeDocument/2006/relationships/hyperlink" Target="https://www.nature.com/articles/sdata2018161" TargetMode="External"/><Relationship Id="rId5" Type="http://schemas.openxmlformats.org/officeDocument/2006/relationships/hyperlink" Target="https://www.nature.com/articles/sdata2018161" TargetMode="External"/><Relationship Id="rId15" Type="http://schemas.openxmlformats.org/officeDocument/2006/relationships/hyperlink" Target="https://www.nature.com/articles/sdata2018161" TargetMode="External"/><Relationship Id="rId10" Type="http://schemas.openxmlformats.org/officeDocument/2006/relationships/hyperlink" Target="https://www.nature.com/articles/sdata2018161" TargetMode="External"/><Relationship Id="rId19" Type="http://schemas.openxmlformats.org/officeDocument/2006/relationships/hyperlink" Target="https://www.nature.com/articles/sdata2018161" TargetMode="External"/><Relationship Id="rId4" Type="http://schemas.openxmlformats.org/officeDocument/2006/relationships/hyperlink" Target="https://www.nature.com/articles/sdata2018161" TargetMode="External"/><Relationship Id="rId9" Type="http://schemas.openxmlformats.org/officeDocument/2006/relationships/hyperlink" Target="https://www.nature.com/articles/sdata2018161" TargetMode="External"/><Relationship Id="rId14" Type="http://schemas.openxmlformats.org/officeDocument/2006/relationships/hyperlink" Target="https://www.nature.com/articles/sdata201816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Carraro</dc:creator>
  <cp:keywords/>
  <dc:description/>
  <cp:lastModifiedBy>Tommaso Carraro</cp:lastModifiedBy>
  <cp:revision>1</cp:revision>
  <dcterms:created xsi:type="dcterms:W3CDTF">2019-06-20T12:50:00Z</dcterms:created>
  <dcterms:modified xsi:type="dcterms:W3CDTF">2019-06-20T12:51:00Z</dcterms:modified>
</cp:coreProperties>
</file>