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6BAB8">
      <w:pPr>
        <w:jc w:val="center"/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中美关税战：一场“制度韧性”与“霸权焦虑”的博弈</w:t>
      </w:r>
    </w:p>
    <w:p w14:paraId="5C156678">
      <w:pPr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​​2025年5月12日，中美经贸关系迎来历史性转折——双方在瑞士日内瓦发布的联合声明中宣布，取消相互加征关税，并暂停24%的关税90天，标志着持续数月的“关税战”按下暂停键。</w:t>
      </w:r>
    </w:p>
    <w:p w14:paraId="6A82296C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5月14日，中美互降关税纷纷落地。北京时间5月14日12时01分起，中国调整对美商品税率，由34%调整为10%；美东时间5月14日凌晨00:01起，美国也调整对华商品税率，保留剩余10%关税。</w:t>
      </w:r>
    </w:p>
    <w:p w14:paraId="60DDEA25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这一突破性进展源于5月10日至11日的中美经贸高层会谈，中方牵头人何立峰副总理与美方代表贝森特财长、格里尔贸易代表经过72小时密集谈判，最终达成“对等降税”共识。</w:t>
      </w:r>
    </w:p>
    <w:p w14:paraId="65185A2F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此次会谈不仅回应了全球市场对贸易壁垒松绑的迫切期待，更揭示了两国在“制度韧性”与“霸权焦虑”博弈后的现实妥协：美国因通胀压力、盟友离心和产业回流失败被迫让步，而中国凭借供应链多元化和技术自主化夯实谈判筹码。</w:t>
      </w:r>
    </w:p>
    <w:p w14:paraId="0196FC29">
      <w:pPr>
        <w:ind w:firstLine="562" w:firstLineChars="200"/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</w:pPr>
    </w:p>
    <w:p w14:paraId="5B000AC3">
      <w:pPr>
        <w:jc w:val="center"/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是什么？——从贸易失衡到制度竞合的系统性对抗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​​</w:t>
      </w:r>
    </w:p>
    <w:p w14:paraId="093E4C72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中美关税战始于2018年，表面是贸易逆差之争，实则是全球产业链主导权与制度模式的深层较量。</w:t>
      </w:r>
    </w:p>
    <w:p w14:paraId="3B23D4E5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2025年，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特朗普上台。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美国对华加征关税已飙升至145%，覆盖新能源、半导体等战略领域，而中国通过供应链多元化、技术自主化及扩大内需构建抗压韧性。</w:t>
      </w:r>
    </w:p>
    <w:p w14:paraId="0252A072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这场博弈已超越经济范畴，成为资本主义危机转嫁与社会主义制度韧性的历史性碰撞。</w:t>
      </w:r>
    </w:p>
    <w:p w14:paraId="7F542276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我们来回看两国的现状——</w:t>
      </w:r>
    </w:p>
    <w:p w14:paraId="608B55F7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我们先来看一个数据，到</w:t>
      </w:r>
      <w:r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  <w:t>去年12月份统计，美国有2665种产品50%以上从中国进口。其中500种100%从中国进口。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极其重要的一点是，美国只能通过从中国购买</w:t>
      </w:r>
      <w:r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  <w:t>这2600多种产品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价值超过1000亿美元的东西。</w:t>
      </w:r>
    </w:p>
    <w:p w14:paraId="61F8E5B7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反观中国，“双循环”战略之下，独立自主、多边合作模式，中国完全可以借助自身优势和制度消化掉。以宁波舟山港为例，外贸吞吐量全球第一，数字货币跨境支付覆盖180国，沙特25%石油贸易以人民币结算。</w:t>
      </w:r>
    </w:p>
    <w:p w14:paraId="53F81CE1">
      <w:pPr>
        <w:ind w:firstLine="560" w:firstLineChars="200"/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此外，中国掌握了一定的谈判筹码。中国稀土加工技术垄断全球85%产能，直接掐住美国军工产业链咽喉，迫使美方在谈判中让步。</w:t>
      </w:r>
    </w:p>
    <w:p w14:paraId="2A6151CC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关税的增长，除开对加税国家的影响，对于美国国内的打击也是美国政府始料未及的。高关税抬高物价引发通胀 给美国经济带来负面影响。</w:t>
      </w:r>
    </w:p>
    <w:p w14:paraId="02364109">
      <w:pPr>
        <w:ind w:firstLine="560" w:firstLineChars="200"/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以</w:t>
      </w:r>
      <w:r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  <w:t>特朗普第一期对中国加征的关税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为例子，</w:t>
      </w:r>
      <w:r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  <w:t>根据牛津经济研究所的计算，美方承担的是92.4%，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后果就是</w:t>
      </w:r>
      <w:r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  <w:t>消费者恐慌了，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纷纷</w:t>
      </w:r>
      <w:r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  <w:t>抢购。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这也</w:t>
      </w:r>
      <w:r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  <w:t>直接影响老百姓的生活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，同时导致美国国内</w:t>
      </w:r>
      <w:r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  <w:t>通胀。</w:t>
      </w:r>
    </w:p>
    <w:p w14:paraId="33AFDCC5">
      <w:pP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​</w:t>
      </w:r>
    </w:p>
    <w:p w14:paraId="28219F56">
      <w:pPr>
        <w:jc w:val="center"/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为什么？——三重矛盾撕裂全球化共识</w:t>
      </w:r>
    </w:p>
    <w:p w14:paraId="66450D56">
      <w:pPr>
        <w:ind w:firstLine="560" w:firstLineChars="200"/>
        <w:jc w:val="both"/>
        <w:rPr>
          <w:rFonts w:hint="eastAsia" w:ascii="方正仿宋_GB2312" w:hAnsi="方正仿宋_GB2312" w:eastAsia="方正仿宋_GB2312" w:cs="方正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28"/>
          <w:szCs w:val="28"/>
          <w:lang w:val="en-US" w:eastAsia="zh-CN"/>
        </w:rPr>
        <w:t>这个政策的背后，不仅仅是经济领域的对抗，也是国家、制度之间的矛盾和抗争。</w:t>
      </w:r>
    </w:p>
    <w:p w14:paraId="4D8B14E6">
      <w:pPr>
        <w:ind w:firstLine="560" w:firstLineChars="200"/>
        <w:jc w:val="both"/>
        <w:rPr>
          <w:rFonts w:hint="eastAsia" w:ascii="方正仿宋_GB2312" w:hAnsi="方正仿宋_GB2312" w:eastAsia="方正仿宋_GB2312" w:cs="方正仿宋_GB2312"/>
          <w:b w:val="0"/>
          <w:bCs w:val="0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sz w:val="28"/>
          <w:szCs w:val="28"/>
          <w:lang w:val="en-US" w:eastAsia="zh-CN"/>
        </w:rPr>
        <w:t>那么为什么会发生这样的关税事件，可以从以下几点进行深度剖析：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28"/>
          <w:szCs w:val="28"/>
        </w:rPr>
        <w:t>​</w:t>
      </w:r>
    </w:p>
    <w:p w14:paraId="4919036E">
      <w:pPr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​​</w:t>
      </w: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  <w:lang w:val="en-US" w:eastAsia="zh-CN"/>
        </w:rPr>
        <w:t>第一，</w:t>
      </w: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经济逻辑的悖论</w:t>
      </w: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  <w:lang w:eastAsia="zh-CN"/>
        </w:rPr>
        <w:t>。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美国对华贸易逆差占其总逆差39.3%，但中国商品支撑其低通胀的“隐性福利”被忽视，关税反噬直接推升美国PCE指数2.1%。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通过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摩根大通测算，关税战推高美国家庭年均支出1274美元，核心CPI突破8.7%。</w:t>
      </w:r>
    </w:p>
    <w:p w14:paraId="39908A3F">
      <w:pPr>
        <w:ind w:firstLine="560" w:firstLineChars="200"/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中国方面，早在今年3月，发布《提振消费专项行动方案》在需求侧加大政策力度，着力促进居民增收减负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eastAsia="zh-CN"/>
        </w:rPr>
        <w:t>。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此外，不断扩大内需，将组织开展汽车流通消费改革试点，积极支持有条件的地方在促进二手车高效流通、发展汽车后市场等方面先行先试，着力培育汽车消费的新增长点。</w:t>
      </w:r>
    </w:p>
    <w:p w14:paraId="1E2F6BD7">
      <w:pPr>
        <w:ind w:firstLine="562" w:firstLineChars="200"/>
        <w:rPr>
          <w:rFonts w:hint="eastAsia" w:ascii="方正仿宋_GB2312" w:hAnsi="方正仿宋_GB2312" w:eastAsia="方正仿宋_GB2312" w:cs="方正仿宋_GB2312"/>
          <w:sz w:val="28"/>
          <w:szCs w:val="28"/>
          <w:lang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  <w:lang w:val="en-US" w:eastAsia="zh-CN"/>
        </w:rPr>
        <w:t>第二，</w:t>
      </w: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科技霸权的焦虑</w:t>
      </w: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  <w:lang w:eastAsia="zh-CN"/>
        </w:rPr>
        <w:t>。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eastAsia="zh-CN"/>
        </w:rPr>
        <w:t>美国对华为、中芯国际的封锁暴露其对中国5G、AI崛起的恐惧。中国在6G必要专利占比41%，量子计算机实现1050个光子纠缠，算力突破“霸权临界点”。这种技术反制能力，使美国出口管制清单年均新增20项却收效甚微。</w:t>
      </w:r>
    </w:p>
    <w:p w14:paraId="1326E135">
      <w:pPr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​​</w:t>
      </w: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  <w:lang w:val="en-US" w:eastAsia="zh-CN"/>
        </w:rPr>
        <w:t>第三，</w:t>
      </w: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制度模式的对抗</w:t>
      </w:r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  <w:lang w:eastAsia="zh-CN"/>
        </w:rPr>
        <w:t>。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美国试图通过“友岸外包”分化盟友，但德国汽车业加速靠拢中国新能源供应链，宝马沈阳工厂产能超慕尼黑总部。欧盟启动1450亿欧元半导体计划，意法半导体在法国建成300mm碳化硅晶圆厂，试图摆脱对美依赖。这种多极化趋势，宣告单极霸权秩序的终结。</w:t>
      </w:r>
    </w:p>
    <w:p w14:paraId="5F771365">
      <w:pPr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​​</w:t>
      </w:r>
    </w:p>
    <w:p w14:paraId="5F36CE6C">
      <w:pPr>
        <w:ind w:firstLine="562" w:firstLineChars="200"/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</w:pPr>
    </w:p>
    <w:p w14:paraId="73D2272B">
      <w:pPr>
        <w:jc w:val="center"/>
        <w:rPr>
          <w:rFonts w:hint="eastAsia" w:ascii="方正仿宋_GB2312" w:hAnsi="方正仿宋_GB2312" w:eastAsia="方正仿宋_GB2312" w:cs="方正仿宋_GB2312"/>
          <w:sz w:val="28"/>
          <w:szCs w:val="28"/>
        </w:rPr>
      </w:pPr>
      <w:bookmarkStart w:id="0" w:name="_GoBack"/>
      <w:r>
        <w:rPr>
          <w:rFonts w:hint="eastAsia" w:ascii="方正仿宋_GB2312" w:hAnsi="方正仿宋_GB2312" w:eastAsia="方正仿宋_GB2312" w:cs="方正仿宋_GB2312"/>
          <w:b/>
          <w:bCs/>
          <w:sz w:val="28"/>
          <w:szCs w:val="28"/>
        </w:rPr>
        <w:t>向何处去？——从“胆小鬼博弈”到全球治理新范式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​</w:t>
      </w:r>
      <w:bookmarkEnd w:id="0"/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​</w:t>
      </w:r>
    </w:p>
    <w:p w14:paraId="620B4421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短期看，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双方通过谈判取得了90天暂停的喘息期。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美方受制于通胀压力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和经济规律的反制才选择的策略。</w:t>
      </w:r>
    </w:p>
    <w:p w14:paraId="30407B59">
      <w:pPr>
        <w:ind w:firstLine="560" w:firstLineChars="200"/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一方面，中美关税政策缓和，有利于为光伏、储能产品提供相对稳定的海外贸易环境。另一方面，随着此前暂停的部分货物恢复发运，贸易量可能出现一定反弹。</w:t>
      </w:r>
    </w:p>
    <w:p w14:paraId="2EA90027">
      <w:pPr>
        <w:ind w:firstLine="560" w:firstLineChars="200"/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长期看，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90天的暂停后，存在了大量的不确定性。从经济学角度来分析，不确定性比加征关税造成的后果更大。从中国企业角度来看，90天过渡期之后，现有的关税水平对低毛利行业压力还是很大。部分企业选择将产能和市场转向东南亚和其他国际市场，以此来抵御风险。</w:t>
      </w:r>
    </w:p>
    <w:p w14:paraId="6038B7D6">
      <w:pPr>
        <w:ind w:firstLine="560" w:firstLineChars="200"/>
        <w:rPr>
          <w:rFonts w:hint="default" w:ascii="方正仿宋_GB2312" w:hAnsi="方正仿宋_GB2312" w:eastAsia="方正仿宋_GB2312" w:cs="方正仿宋_GB2312"/>
          <w:sz w:val="28"/>
          <w:szCs w:val="28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这次谈判后，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美国保留以芬太尼为由的20%关税，中国则维持稀土出口管制。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这也导致了如果</w:t>
      </w: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谈判破裂，关税可能反弹至125%-145%。</w:t>
      </w:r>
      <w:r>
        <w:rPr>
          <w:rFonts w:hint="eastAsia" w:ascii="方正仿宋_GB2312" w:hAnsi="方正仿宋_GB2312" w:eastAsia="方正仿宋_GB2312" w:cs="方正仿宋_GB2312"/>
          <w:sz w:val="28"/>
          <w:szCs w:val="28"/>
          <w:lang w:val="en-US" w:eastAsia="zh-CN"/>
        </w:rPr>
        <w:t>此次事件后，美国产业空心化近一步加深，据相关数据表明，美国制作业仅占GDP的11%，美元信用持续衰退。而中国，通过数字基建和标准输出正在重新构筑新的秩序。</w:t>
      </w:r>
    </w:p>
    <w:p w14:paraId="45E34482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</w:rPr>
      </w:pPr>
    </w:p>
    <w:p w14:paraId="37DD348D">
      <w:pPr>
        <w:ind w:firstLine="560" w:firstLineChars="200"/>
        <w:rPr>
          <w:rFonts w:hint="eastAsia" w:ascii="方正仿宋_GB2312" w:hAnsi="方正仿宋_GB2312" w:eastAsia="方正仿宋_GB2312" w:cs="方正仿宋_GB2312"/>
          <w:sz w:val="28"/>
          <w:szCs w:val="28"/>
        </w:rPr>
      </w:pPr>
      <w:r>
        <w:rPr>
          <w:rFonts w:hint="eastAsia" w:ascii="方正仿宋_GB2312" w:hAnsi="方正仿宋_GB2312" w:eastAsia="方正仿宋_GB2312" w:cs="方正仿宋_GB2312"/>
          <w:sz w:val="28"/>
          <w:szCs w:val="28"/>
        </w:rPr>
        <w:t>关税战终局不在税率数字，而在制度生命力——当美国沉迷“霸权护持”时，中国正以“独立自主+多边合作”书写新全球化脚本。这场博弈的胜负，或许早已注定于两种文明模式的韧性较量之中。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118D2F8E-D944-4A32-B59A-B8039893FC32}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A7C7C"/>
    <w:rsid w:val="1E69474C"/>
    <w:rsid w:val="45161CE6"/>
    <w:rsid w:val="523460D5"/>
    <w:rsid w:val="56AF79C4"/>
    <w:rsid w:val="580A7C7C"/>
    <w:rsid w:val="7E36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1042</Words>
  <Characters>1117</Characters>
  <Lines>0</Lines>
  <Paragraphs>0</Paragraphs>
  <TotalTime>101</TotalTime>
  <ScaleCrop>false</ScaleCrop>
  <LinksUpToDate>false</LinksUpToDate>
  <CharactersWithSpaces>1117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2025-05-13T02:32:00Z</dcterms:created>
  <dc:creator>冷默契1388580075</dc:creator>
  <cp:lastModifiedBy>冷默契1388580075</cp:lastModifiedBy>
  <dcterms:modified xsi:type="dcterms:W3CDTF">2025-05-17T14:54:35Z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41A2CA351DB24D8FB94A55F92066DAD2_13</vt:lpwstr>
  </property>
  <property fmtid="{D5CDD505-2E9C-101B-9397-08002B2CF9AE}" pid="4" name="KSOTemplateDocerSaveRecord">
    <vt:lpwstr>eyJoZGlkIjoiNTk4ZTk3OTc2Y2Y1NWIyZDY2Zjk3ZTM4ODJkMWRjMDUiLCJ1c2VySWQiOiIxMDI2OTM5MSJ9</vt:lpwstr>
  </property>
</Properties>
</file>